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adedatabela"/>
        <w:tblW w:w="1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HorzStripe" w:color="003399" w:fill="0066CC"/>
        <w:tblLook w:val="01E0"/>
      </w:tblPr>
      <w:tblGrid>
        <w:gridCol w:w="3126"/>
        <w:gridCol w:w="8067"/>
      </w:tblGrid>
      <w:tr w:rsidR="006A21EA" w:rsidRPr="00513CCA" w:rsidTr="007E2CDA">
        <w:trPr>
          <w:trHeight w:val="216"/>
        </w:trPr>
        <w:tc>
          <w:tcPr>
            <w:tcW w:w="11060" w:type="dxa"/>
            <w:gridSpan w:val="2"/>
            <w:shd w:val="clear" w:color="auto" w:fill="76923C" w:themeFill="accent3" w:themeFillShade="BF"/>
          </w:tcPr>
          <w:p w:rsidR="006A21EA" w:rsidRPr="00513CCA" w:rsidRDefault="006A21EA" w:rsidP="00D33265">
            <w:pPr>
              <w:pStyle w:val="Corpodetexto"/>
              <w:rPr>
                <w:lang w:val="pt-BR"/>
              </w:rPr>
            </w:pPr>
          </w:p>
        </w:tc>
      </w:tr>
      <w:tr w:rsidR="006A21EA" w:rsidRPr="004937EA" w:rsidTr="007E2CDA">
        <w:trPr>
          <w:trHeight w:val="1440"/>
        </w:trPr>
        <w:tc>
          <w:tcPr>
            <w:tcW w:w="3126" w:type="dxa"/>
            <w:shd w:val="clear" w:color="auto" w:fill="FFFFFF"/>
            <w:vAlign w:val="center"/>
          </w:tcPr>
          <w:p w:rsidR="006A21EA" w:rsidRPr="00513CCA" w:rsidRDefault="001B3C21">
            <w:pPr>
              <w:pStyle w:val="Ttulodoboletiminformativo"/>
              <w:rPr>
                <w:lang w:val="pt-BR"/>
              </w:rPr>
            </w:pPr>
            <w:r>
              <w:rPr>
                <w:noProof/>
                <w:lang w:val="pt-BR" w:eastAsia="pt-BR" w:bidi="ar-SA"/>
              </w:rPr>
              <w:drawing>
                <wp:inline distT="0" distB="0" distL="0" distR="0">
                  <wp:extent cx="1819275" cy="809625"/>
                  <wp:effectExtent l="19050" t="0" r="9525" b="0"/>
                  <wp:docPr id="11" name="Imagem 7" descr="Resultado de imagem para logomarca prefeitura senhora dos remedios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m para logomarca prefeitura senhora dos remedios mg"/>
                          <pic:cNvPicPr>
                            <a:picLocks noChangeAspect="1" noChangeArrowheads="1"/>
                          </pic:cNvPicPr>
                        </pic:nvPicPr>
                        <pic:blipFill>
                          <a:blip r:embed="rId7" cstate="print"/>
                          <a:srcRect/>
                          <a:stretch>
                            <a:fillRect/>
                          </a:stretch>
                        </pic:blipFill>
                        <pic:spPr bwMode="auto">
                          <a:xfrm>
                            <a:off x="0" y="0"/>
                            <a:ext cx="1819275" cy="809625"/>
                          </a:xfrm>
                          <a:prstGeom prst="rect">
                            <a:avLst/>
                          </a:prstGeom>
                          <a:noFill/>
                          <a:ln w="9525">
                            <a:noFill/>
                            <a:miter lim="800000"/>
                            <a:headEnd/>
                            <a:tailEnd/>
                          </a:ln>
                        </pic:spPr>
                      </pic:pic>
                    </a:graphicData>
                  </a:graphic>
                </wp:inline>
              </w:drawing>
            </w:r>
          </w:p>
        </w:tc>
        <w:tc>
          <w:tcPr>
            <w:tcW w:w="7934" w:type="dxa"/>
            <w:shd w:val="clear" w:color="auto" w:fill="FFFFFF"/>
            <w:vAlign w:val="center"/>
          </w:tcPr>
          <w:p w:rsidR="006A21EA" w:rsidRPr="00513CCA" w:rsidRDefault="00432883">
            <w:pPr>
              <w:pStyle w:val="Ttulodoboletiminformativo"/>
              <w:rPr>
                <w:lang w:val="pt-BR"/>
              </w:rPr>
            </w:pPr>
            <w:r w:rsidRPr="003B6F69">
              <w:rPr>
                <w:color w:val="000000" w:themeColor="text1"/>
                <w:lang w:val="pt-BR"/>
              </w:rPr>
              <w:t>B</w:t>
            </w:r>
            <w:r w:rsidR="00351B47" w:rsidRPr="003B6F69">
              <w:rPr>
                <w:color w:val="000000" w:themeColor="text1"/>
                <w:lang w:val="pt-BR"/>
              </w:rPr>
              <w:t xml:space="preserve">oletim de Vigilância em Saúde </w:t>
            </w:r>
          </w:p>
        </w:tc>
      </w:tr>
      <w:tr w:rsidR="006A21EA" w:rsidRPr="009C5963" w:rsidTr="008A699C">
        <w:trPr>
          <w:trHeight w:val="751"/>
        </w:trPr>
        <w:tc>
          <w:tcPr>
            <w:tcW w:w="11060" w:type="dxa"/>
            <w:gridSpan w:val="2"/>
            <w:shd w:val="clear" w:color="auto" w:fill="76923C" w:themeFill="accent3" w:themeFillShade="BF"/>
            <w:vAlign w:val="center"/>
          </w:tcPr>
          <w:p w:rsidR="006A21EA" w:rsidRPr="00513CCA" w:rsidRDefault="00AD0067" w:rsidP="002E4232">
            <w:pPr>
              <w:pStyle w:val="Volumeenmero"/>
              <w:rPr>
                <w:lang w:val="pt-BR"/>
              </w:rPr>
            </w:pPr>
            <w:r>
              <w:rPr>
                <w:lang w:val="pt-BR"/>
              </w:rPr>
              <w:tab/>
              <w:t>N</w:t>
            </w:r>
            <w:r w:rsidR="006A21EA" w:rsidRPr="00513CCA">
              <w:rPr>
                <w:lang w:val="pt-BR"/>
              </w:rPr>
              <w:t xml:space="preserve">úmero </w:t>
            </w:r>
            <w:r w:rsidR="002E4232">
              <w:rPr>
                <w:lang w:val="pt-BR"/>
              </w:rPr>
              <w:t>4</w:t>
            </w:r>
            <w:r w:rsidR="00641212">
              <w:rPr>
                <w:lang w:val="pt-BR"/>
              </w:rPr>
              <w:t xml:space="preserve">, ano </w:t>
            </w:r>
            <w:r w:rsidR="002E4232">
              <w:rPr>
                <w:lang w:val="pt-BR"/>
              </w:rPr>
              <w:t>2019</w:t>
            </w:r>
            <w:r w:rsidR="001B3C21">
              <w:rPr>
                <w:lang w:val="pt-BR"/>
              </w:rPr>
              <w:t xml:space="preserve"> – </w:t>
            </w:r>
            <w:r w:rsidR="002E4232">
              <w:rPr>
                <w:lang w:val="pt-BR"/>
              </w:rPr>
              <w:t>1º semestre</w:t>
            </w:r>
          </w:p>
        </w:tc>
      </w:tr>
      <w:tr w:rsidR="007E2CDA" w:rsidRPr="004937EA" w:rsidTr="007E2CDA">
        <w:tc>
          <w:tcPr>
            <w:tcW w:w="3126" w:type="dxa"/>
            <w:tcBorders>
              <w:top w:val="nil"/>
              <w:left w:val="single" w:sz="4" w:space="0" w:color="FFFFFF"/>
              <w:bottom w:val="nil"/>
              <w:right w:val="nil"/>
            </w:tcBorders>
            <w:shd w:val="clear" w:color="auto" w:fill="9BBB59" w:themeFill="accent3"/>
          </w:tcPr>
          <w:p w:rsidR="007E2CDA" w:rsidRDefault="007E2CDA" w:rsidP="0013744D">
            <w:pPr>
              <w:pStyle w:val="Ttulodondiceanaltico"/>
              <w:rPr>
                <w:color w:val="000000" w:themeColor="text1"/>
                <w:lang w:val="pt-BR"/>
              </w:rPr>
            </w:pPr>
            <w:r w:rsidRPr="003B6F69">
              <w:rPr>
                <w:color w:val="000000" w:themeColor="text1"/>
                <w:lang w:val="pt-BR"/>
              </w:rPr>
              <w:t>Nesta edição</w:t>
            </w:r>
            <w:r>
              <w:rPr>
                <w:color w:val="000000" w:themeColor="text1"/>
                <w:lang w:val="pt-BR"/>
              </w:rPr>
              <w:t>:</w:t>
            </w:r>
          </w:p>
          <w:p w:rsidR="002E4232" w:rsidRDefault="002E4232" w:rsidP="0013744D">
            <w:pPr>
              <w:pStyle w:val="Ttulodondiceanaltico"/>
              <w:rPr>
                <w:color w:val="000000" w:themeColor="text1"/>
                <w:lang w:val="pt-BR"/>
              </w:rPr>
            </w:pPr>
            <w:r>
              <w:rPr>
                <w:color w:val="000000" w:themeColor="text1"/>
                <w:lang w:val="pt-BR"/>
              </w:rPr>
              <w:t>-SÍNDROME MÃO, PÉ, BOCA</w:t>
            </w:r>
          </w:p>
          <w:p w:rsidR="002E4232" w:rsidRDefault="002E4232" w:rsidP="0013744D">
            <w:pPr>
              <w:pStyle w:val="Ttulodondiceanaltico"/>
              <w:rPr>
                <w:color w:val="000000" w:themeColor="text1"/>
                <w:lang w:val="pt-BR"/>
              </w:rPr>
            </w:pPr>
            <w:r>
              <w:rPr>
                <w:color w:val="000000" w:themeColor="text1"/>
                <w:lang w:val="pt-BR"/>
              </w:rPr>
              <w:t>-DENGUE, CHIKUNGUNYA E ZIKA</w:t>
            </w:r>
          </w:p>
          <w:p w:rsidR="002E4232" w:rsidRPr="003B6F69" w:rsidRDefault="002E4232" w:rsidP="0013744D">
            <w:pPr>
              <w:pStyle w:val="Ttulodondiceanaltico"/>
              <w:rPr>
                <w:color w:val="000000" w:themeColor="text1"/>
                <w:lang w:val="pt-BR"/>
              </w:rPr>
            </w:pPr>
            <w:r>
              <w:rPr>
                <w:color w:val="000000" w:themeColor="text1"/>
                <w:lang w:val="pt-BR"/>
              </w:rPr>
              <w:t>-CAMPANHA ANTI-RÁBICA ANIMAL</w:t>
            </w:r>
          </w:p>
          <w:p w:rsidR="007E2CDA" w:rsidRPr="00B47848" w:rsidRDefault="007E2CDA" w:rsidP="0013744D">
            <w:pPr>
              <w:pStyle w:val="Entradadondiceanaltico"/>
              <w:numPr>
                <w:ilvl w:val="0"/>
                <w:numId w:val="0"/>
              </w:numPr>
              <w:ind w:left="216"/>
              <w:rPr>
                <w:b/>
                <w:color w:val="000000" w:themeColor="text1"/>
                <w:lang w:val="pt-BR"/>
              </w:rPr>
            </w:pPr>
            <w:r w:rsidRPr="00B47848">
              <w:rPr>
                <w:b/>
                <w:color w:val="000000" w:themeColor="text1"/>
                <w:lang w:val="pt-BR"/>
              </w:rPr>
              <w:t>Entre em contato</w:t>
            </w:r>
            <w:r>
              <w:rPr>
                <w:b/>
                <w:color w:val="000000" w:themeColor="text1"/>
                <w:lang w:val="pt-BR"/>
              </w:rPr>
              <w:t>:</w:t>
            </w:r>
          </w:p>
          <w:p w:rsidR="007E2CDA" w:rsidRPr="00AD0067" w:rsidRDefault="007E2CDA" w:rsidP="0013744D">
            <w:pPr>
              <w:pStyle w:val="Links"/>
              <w:rPr>
                <w:rStyle w:val="Hyperlink"/>
                <w:color w:val="000000" w:themeColor="text1"/>
                <w:sz w:val="16"/>
                <w:szCs w:val="16"/>
                <w:lang w:val="pt-BR"/>
              </w:rPr>
            </w:pPr>
            <w:r w:rsidRPr="00AD0067">
              <w:rPr>
                <w:rStyle w:val="Hyperlink"/>
                <w:color w:val="000000" w:themeColor="text1"/>
                <w:sz w:val="16"/>
                <w:szCs w:val="16"/>
                <w:lang w:val="pt-BR"/>
              </w:rPr>
              <w:t>epidemiologia.remediosmg</w:t>
            </w:r>
          </w:p>
          <w:p w:rsidR="007E2CDA" w:rsidRDefault="007E2CDA" w:rsidP="0013744D">
            <w:pPr>
              <w:pStyle w:val="Links"/>
              <w:rPr>
                <w:rStyle w:val="Hyperlink"/>
                <w:color w:val="000000" w:themeColor="text1"/>
                <w:sz w:val="16"/>
                <w:szCs w:val="16"/>
                <w:lang w:val="pt-BR"/>
              </w:rPr>
            </w:pPr>
            <w:r w:rsidRPr="00AD0067">
              <w:rPr>
                <w:rStyle w:val="Hyperlink"/>
                <w:color w:val="000000" w:themeColor="text1"/>
                <w:sz w:val="16"/>
                <w:szCs w:val="16"/>
                <w:lang w:val="pt-BR"/>
              </w:rPr>
              <w:t xml:space="preserve">@gmail.com </w:t>
            </w:r>
          </w:p>
          <w:p w:rsidR="007E2CDA" w:rsidRDefault="007E2CDA" w:rsidP="0013744D">
            <w:pPr>
              <w:pStyle w:val="Links"/>
              <w:rPr>
                <w:rStyle w:val="Hyperlink"/>
                <w:b/>
                <w:color w:val="000000" w:themeColor="text1"/>
                <w:lang w:val="pt-BR"/>
              </w:rPr>
            </w:pPr>
            <w:r w:rsidRPr="00B47848">
              <w:rPr>
                <w:rStyle w:val="Hyperlink"/>
                <w:b/>
                <w:color w:val="000000" w:themeColor="text1"/>
                <w:lang w:val="pt-BR"/>
              </w:rPr>
              <w:t>UBS Pe. Luiz Pinheiro</w:t>
            </w:r>
          </w:p>
          <w:p w:rsidR="008A699C" w:rsidRPr="00B47848" w:rsidRDefault="008A699C" w:rsidP="0013744D">
            <w:pPr>
              <w:pStyle w:val="Links"/>
              <w:rPr>
                <w:rStyle w:val="Hyperlink"/>
                <w:b/>
                <w:color w:val="000000" w:themeColor="text1"/>
                <w:lang w:val="pt-BR"/>
              </w:rPr>
            </w:pPr>
            <w:r>
              <w:rPr>
                <w:rStyle w:val="Hyperlink"/>
                <w:b/>
                <w:color w:val="000000" w:themeColor="text1"/>
                <w:lang w:val="pt-BR"/>
              </w:rPr>
              <w:t>Horário de funcionamento</w:t>
            </w:r>
          </w:p>
          <w:p w:rsidR="007E2CDA" w:rsidRPr="00B47848" w:rsidRDefault="007E2CDA" w:rsidP="00E77466">
            <w:pPr>
              <w:pStyle w:val="Links"/>
              <w:rPr>
                <w:rStyle w:val="Hyperlink"/>
                <w:color w:val="000000" w:themeColor="text1"/>
                <w:lang w:val="pt-BR"/>
              </w:rPr>
            </w:pPr>
            <w:r w:rsidRPr="00B47848">
              <w:rPr>
                <w:rStyle w:val="Hyperlink"/>
                <w:color w:val="000000" w:themeColor="text1"/>
                <w:lang w:val="pt-BR"/>
              </w:rPr>
              <w:t>08H às 17h</w:t>
            </w:r>
          </w:p>
          <w:p w:rsidR="007E2CDA" w:rsidRDefault="007E2CDA" w:rsidP="00E77466">
            <w:pPr>
              <w:pStyle w:val="Links"/>
              <w:rPr>
                <w:rStyle w:val="Hyperlink"/>
                <w:color w:val="000000" w:themeColor="text1"/>
                <w:lang w:val="pt-BR"/>
              </w:rPr>
            </w:pPr>
            <w:r>
              <w:rPr>
                <w:rStyle w:val="Hyperlink"/>
                <w:color w:val="000000" w:themeColor="text1"/>
                <w:lang w:val="pt-BR"/>
              </w:rPr>
              <w:t xml:space="preserve">Tel: </w:t>
            </w:r>
            <w:r w:rsidRPr="00B47848">
              <w:rPr>
                <w:rStyle w:val="Hyperlink"/>
                <w:b/>
                <w:color w:val="000000" w:themeColor="text1"/>
                <w:lang w:val="pt-BR"/>
              </w:rPr>
              <w:t>(32)3343 1201/1233</w:t>
            </w:r>
          </w:p>
          <w:p w:rsidR="007E2CDA" w:rsidRDefault="007E2CDA" w:rsidP="0013744D">
            <w:pPr>
              <w:pStyle w:val="Links"/>
              <w:rPr>
                <w:rStyle w:val="Hyperlink"/>
                <w:color w:val="000000" w:themeColor="text1"/>
                <w:lang w:val="pt-BR"/>
              </w:rPr>
            </w:pPr>
            <w:r>
              <w:rPr>
                <w:rStyle w:val="Hyperlink"/>
                <w:color w:val="000000" w:themeColor="text1"/>
                <w:lang w:val="pt-BR"/>
              </w:rPr>
              <w:t>WhatsApp:</w:t>
            </w:r>
            <w:r w:rsidRPr="00B47848">
              <w:rPr>
                <w:rStyle w:val="Hyperlink"/>
                <w:b/>
                <w:color w:val="000000" w:themeColor="text1"/>
                <w:lang w:val="pt-BR"/>
              </w:rPr>
              <w:t>(32)98459</w:t>
            </w:r>
            <w:r>
              <w:rPr>
                <w:rStyle w:val="Hyperlink"/>
                <w:b/>
                <w:color w:val="000000" w:themeColor="text1"/>
                <w:lang w:val="pt-BR"/>
              </w:rPr>
              <w:t>6</w:t>
            </w:r>
            <w:r w:rsidRPr="00B47848">
              <w:rPr>
                <w:rStyle w:val="Hyperlink"/>
                <w:b/>
                <w:color w:val="000000" w:themeColor="text1"/>
                <w:lang w:val="pt-BR"/>
              </w:rPr>
              <w:t>933</w:t>
            </w:r>
          </w:p>
          <w:p w:rsidR="008A699C" w:rsidRDefault="007E2CDA" w:rsidP="0013744D">
            <w:pPr>
              <w:pStyle w:val="Links"/>
              <w:rPr>
                <w:rStyle w:val="Hyperlink"/>
                <w:b/>
                <w:color w:val="000000" w:themeColor="text1"/>
                <w:lang w:val="pt-BR"/>
              </w:rPr>
            </w:pPr>
            <w:r w:rsidRPr="00B47848">
              <w:rPr>
                <w:rStyle w:val="Hyperlink"/>
                <w:b/>
                <w:color w:val="000000" w:themeColor="text1"/>
                <w:lang w:val="pt-BR"/>
              </w:rPr>
              <w:t>Simone Damasceno Rodrigues</w:t>
            </w:r>
            <w:r>
              <w:rPr>
                <w:rStyle w:val="Hyperlink"/>
                <w:color w:val="000000" w:themeColor="text1"/>
                <w:lang w:val="pt-BR"/>
              </w:rPr>
              <w:t xml:space="preserve"> </w:t>
            </w:r>
          </w:p>
          <w:p w:rsidR="007E2CDA" w:rsidRDefault="007E2CDA" w:rsidP="0013744D">
            <w:pPr>
              <w:pStyle w:val="Links"/>
              <w:rPr>
                <w:rStyle w:val="Hyperlink"/>
                <w:color w:val="000000" w:themeColor="text1"/>
                <w:lang w:val="pt-BR"/>
              </w:rPr>
            </w:pPr>
            <w:r w:rsidRPr="00B47848">
              <w:rPr>
                <w:rStyle w:val="Hyperlink"/>
                <w:b/>
                <w:color w:val="000000" w:themeColor="text1"/>
                <w:lang w:val="pt-BR"/>
              </w:rPr>
              <w:t xml:space="preserve"> </w:t>
            </w:r>
            <w:r w:rsidRPr="00B47848">
              <w:rPr>
                <w:rStyle w:val="Hyperlink"/>
                <w:color w:val="000000" w:themeColor="text1"/>
                <w:lang w:val="pt-BR"/>
              </w:rPr>
              <w:t>Coordenadora de Vigilância em saúde</w:t>
            </w:r>
          </w:p>
          <w:p w:rsidR="007E2CDA" w:rsidRDefault="008A699C" w:rsidP="0013744D">
            <w:pPr>
              <w:pStyle w:val="Links"/>
              <w:rPr>
                <w:rStyle w:val="Hyperlink"/>
                <w:b/>
                <w:color w:val="000000" w:themeColor="text1"/>
                <w:lang w:val="pt-BR"/>
              </w:rPr>
            </w:pPr>
            <w:r>
              <w:rPr>
                <w:rStyle w:val="Hyperlink"/>
                <w:b/>
                <w:color w:val="000000" w:themeColor="text1"/>
                <w:lang w:val="pt-BR"/>
              </w:rPr>
              <w:t>Daiane Rodrigues da Silva</w:t>
            </w:r>
          </w:p>
          <w:p w:rsidR="007E2CDA" w:rsidRDefault="008A699C" w:rsidP="0013744D">
            <w:pPr>
              <w:pStyle w:val="Links"/>
              <w:rPr>
                <w:rStyle w:val="Hyperlink"/>
                <w:color w:val="000000" w:themeColor="text1"/>
                <w:lang w:val="pt-BR"/>
              </w:rPr>
            </w:pPr>
            <w:r>
              <w:rPr>
                <w:rStyle w:val="Hyperlink"/>
                <w:color w:val="000000" w:themeColor="text1"/>
                <w:lang w:val="pt-BR"/>
              </w:rPr>
              <w:t>C</w:t>
            </w:r>
            <w:r w:rsidR="007E2CDA" w:rsidRPr="00B47848">
              <w:rPr>
                <w:rStyle w:val="Hyperlink"/>
                <w:color w:val="000000" w:themeColor="text1"/>
                <w:lang w:val="pt-BR"/>
              </w:rPr>
              <w:t>oordenadora de Vigilância Ambiental</w:t>
            </w:r>
            <w:r>
              <w:rPr>
                <w:rStyle w:val="Hyperlink"/>
                <w:color w:val="000000" w:themeColor="text1"/>
                <w:lang w:val="pt-BR"/>
              </w:rPr>
              <w:t xml:space="preserve"> e Sanitária</w:t>
            </w:r>
          </w:p>
          <w:p w:rsidR="007E2CDA" w:rsidRDefault="007E2CDA" w:rsidP="0013744D">
            <w:pPr>
              <w:pStyle w:val="Links"/>
              <w:rPr>
                <w:rStyle w:val="Hyperlink"/>
                <w:b/>
                <w:color w:val="000000" w:themeColor="text1"/>
                <w:lang w:val="pt-BR"/>
              </w:rPr>
            </w:pPr>
            <w:r w:rsidRPr="00B47848">
              <w:rPr>
                <w:rStyle w:val="Hyperlink"/>
                <w:b/>
                <w:color w:val="000000" w:themeColor="text1"/>
                <w:lang w:val="pt-BR"/>
              </w:rPr>
              <w:t>Isabela Chaves</w:t>
            </w:r>
          </w:p>
          <w:p w:rsidR="007E2CDA" w:rsidRPr="00B47848" w:rsidRDefault="007E2CDA" w:rsidP="0013744D">
            <w:pPr>
              <w:pStyle w:val="Links"/>
              <w:rPr>
                <w:rStyle w:val="Hyperlink"/>
                <w:b/>
                <w:color w:val="000000" w:themeColor="text1"/>
                <w:lang w:val="pt-BR"/>
              </w:rPr>
            </w:pPr>
            <w:r w:rsidRPr="00B47848">
              <w:rPr>
                <w:rStyle w:val="Hyperlink"/>
                <w:b/>
                <w:color w:val="000000" w:themeColor="text1"/>
                <w:lang w:val="pt-BR"/>
              </w:rPr>
              <w:t xml:space="preserve"> </w:t>
            </w:r>
            <w:r w:rsidRPr="00B47848">
              <w:rPr>
                <w:rStyle w:val="Hyperlink"/>
                <w:color w:val="000000" w:themeColor="text1"/>
                <w:lang w:val="pt-BR"/>
              </w:rPr>
              <w:t>Enf</w:t>
            </w:r>
            <w:r>
              <w:rPr>
                <w:rStyle w:val="Hyperlink"/>
                <w:color w:val="000000" w:themeColor="text1"/>
                <w:lang w:val="pt-BR"/>
              </w:rPr>
              <w:t>ermeira</w:t>
            </w:r>
            <w:r w:rsidRPr="00B47848">
              <w:rPr>
                <w:rStyle w:val="Hyperlink"/>
                <w:color w:val="000000" w:themeColor="text1"/>
                <w:lang w:val="pt-BR"/>
              </w:rPr>
              <w:t xml:space="preserve"> RT de Imunização</w:t>
            </w:r>
          </w:p>
          <w:p w:rsidR="007E2CDA" w:rsidRPr="00B47848" w:rsidRDefault="007E2CDA" w:rsidP="0013744D">
            <w:pPr>
              <w:pStyle w:val="Links"/>
              <w:rPr>
                <w:rStyle w:val="Hyperlink"/>
                <w:color w:val="000000" w:themeColor="text1"/>
                <w:lang w:val="pt-BR"/>
              </w:rPr>
            </w:pPr>
            <w:r w:rsidRPr="00B47848">
              <w:rPr>
                <w:rStyle w:val="Hyperlink"/>
                <w:b/>
                <w:color w:val="000000" w:themeColor="text1"/>
                <w:lang w:val="pt-BR"/>
              </w:rPr>
              <w:t>Elia</w:t>
            </w:r>
            <w:r>
              <w:rPr>
                <w:rStyle w:val="Hyperlink"/>
                <w:b/>
                <w:color w:val="000000" w:themeColor="text1"/>
                <w:lang w:val="pt-BR"/>
              </w:rPr>
              <w:t>s</w:t>
            </w:r>
            <w:r w:rsidRPr="00B47848">
              <w:rPr>
                <w:rStyle w:val="Hyperlink"/>
                <w:b/>
                <w:color w:val="000000" w:themeColor="text1"/>
                <w:lang w:val="pt-BR"/>
              </w:rPr>
              <w:t xml:space="preserve"> Pimentel Matheus</w:t>
            </w:r>
            <w:r>
              <w:rPr>
                <w:rStyle w:val="Hyperlink"/>
                <w:color w:val="000000" w:themeColor="text1"/>
                <w:lang w:val="pt-BR"/>
              </w:rPr>
              <w:t xml:space="preserve"> </w:t>
            </w:r>
            <w:r w:rsidRPr="00B47848">
              <w:rPr>
                <w:rStyle w:val="Hyperlink"/>
                <w:color w:val="000000" w:themeColor="text1"/>
                <w:lang w:val="pt-BR"/>
              </w:rPr>
              <w:t>Secretário de Saúde</w:t>
            </w:r>
          </w:p>
          <w:p w:rsidR="007E2CDA" w:rsidRPr="003B6F69" w:rsidRDefault="007E2CDA">
            <w:pPr>
              <w:pStyle w:val="Ttulodondiceanaltico"/>
              <w:rPr>
                <w:color w:val="000000" w:themeColor="text1"/>
                <w:lang w:val="pt-BR"/>
              </w:rPr>
            </w:pPr>
          </w:p>
        </w:tc>
        <w:tc>
          <w:tcPr>
            <w:tcW w:w="7934" w:type="dxa"/>
            <w:tcBorders>
              <w:top w:val="nil"/>
              <w:left w:val="single" w:sz="4" w:space="0" w:color="FFFFFF"/>
              <w:bottom w:val="nil"/>
              <w:right w:val="single" w:sz="4" w:space="0" w:color="FFFFFF"/>
            </w:tcBorders>
            <w:shd w:val="clear" w:color="auto" w:fill="FFFFFF"/>
            <w:tcMar>
              <w:top w:w="504" w:type="dxa"/>
              <w:left w:w="288" w:type="dxa"/>
              <w:bottom w:w="288" w:type="dxa"/>
              <w:right w:w="288" w:type="dxa"/>
            </w:tcMar>
          </w:tcPr>
          <w:p w:rsidR="007E2CDA" w:rsidRDefault="007E2CDA" w:rsidP="004A5BA8">
            <w:pPr>
              <w:spacing w:before="100" w:beforeAutospacing="1" w:after="100" w:afterAutospacing="1"/>
              <w:rPr>
                <w:noProof/>
                <w:lang w:val="pt-BR" w:eastAsia="pt-BR"/>
              </w:rPr>
            </w:pPr>
            <w:r>
              <w:rPr>
                <w:noProof/>
                <w:lang w:val="pt-BR" w:eastAsia="pt-BR"/>
              </w:rPr>
              <w:drawing>
                <wp:inline distT="0" distB="0" distL="0" distR="0">
                  <wp:extent cx="4629150" cy="2238375"/>
                  <wp:effectExtent l="19050" t="0" r="0" b="0"/>
                  <wp:docPr id="31" name="Imagem 6" descr="Resultado de imagem para vigilancia saude log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m para vigilancia saude logomarca"/>
                          <pic:cNvPicPr>
                            <a:picLocks noChangeAspect="1" noChangeArrowheads="1"/>
                          </pic:cNvPicPr>
                        </pic:nvPicPr>
                        <pic:blipFill>
                          <a:blip r:embed="rId8"/>
                          <a:srcRect/>
                          <a:stretch>
                            <a:fillRect/>
                          </a:stretch>
                        </pic:blipFill>
                        <pic:spPr bwMode="auto">
                          <a:xfrm>
                            <a:off x="0" y="0"/>
                            <a:ext cx="4632126" cy="2239814"/>
                          </a:xfrm>
                          <a:prstGeom prst="rect">
                            <a:avLst/>
                          </a:prstGeom>
                          <a:noFill/>
                          <a:ln w="9525">
                            <a:noFill/>
                            <a:miter lim="800000"/>
                            <a:headEnd/>
                            <a:tailEnd/>
                          </a:ln>
                        </pic:spPr>
                      </pic:pic>
                    </a:graphicData>
                  </a:graphic>
                </wp:inline>
              </w:drawing>
            </w:r>
          </w:p>
          <w:p w:rsidR="007E2CDA" w:rsidRPr="00751E81" w:rsidRDefault="007E2CDA" w:rsidP="00A72364">
            <w:pPr>
              <w:spacing w:before="100" w:beforeAutospacing="1" w:after="100" w:afterAutospacing="1"/>
              <w:jc w:val="center"/>
              <w:rPr>
                <w:sz w:val="32"/>
                <w:szCs w:val="32"/>
                <w:lang w:val="pt-BR"/>
              </w:rPr>
            </w:pPr>
            <w:r w:rsidRPr="00751E81">
              <w:rPr>
                <w:b/>
                <w:bCs/>
                <w:sz w:val="32"/>
                <w:szCs w:val="32"/>
                <w:lang w:val="pt-BR"/>
              </w:rPr>
              <w:t>SÍNDROME MÃO PÉ BOCA</w:t>
            </w:r>
          </w:p>
          <w:p w:rsidR="00AB575F" w:rsidRDefault="00AB575F" w:rsidP="004A5BA8">
            <w:pPr>
              <w:pStyle w:val="Default"/>
              <w:rPr>
                <w:sz w:val="23"/>
                <w:szCs w:val="23"/>
              </w:rPr>
            </w:pPr>
            <w:r>
              <w:t xml:space="preserve">     </w:t>
            </w:r>
            <w:r w:rsidR="007E2CDA">
              <w:t xml:space="preserve"> </w:t>
            </w:r>
            <w:r w:rsidR="007E2CDA">
              <w:rPr>
                <w:sz w:val="22"/>
                <w:szCs w:val="22"/>
              </w:rPr>
              <w:t xml:space="preserve">A síndrome mão-pé-boca é uma doença altamente contagiosa. É mais frequente em crianças de menos de cinco anos de idade, embora possa afetar adultos. Tem esse nome justamente porque as lesões que acarreta localizam-se nos pés, mãos e interior da garganta. </w:t>
            </w:r>
            <w:r w:rsidR="007E2CDA">
              <w:rPr>
                <w:sz w:val="23"/>
                <w:szCs w:val="23"/>
              </w:rPr>
              <w:t xml:space="preserve">Em nosso meio o agente etiológico mais frequente é o Coxsackievirus A16. Geralmente tem evolução autolimitada. </w:t>
            </w:r>
          </w:p>
          <w:p w:rsidR="007E2CDA" w:rsidRDefault="00AB575F" w:rsidP="004A5BA8">
            <w:pPr>
              <w:pStyle w:val="Default"/>
              <w:rPr>
                <w:sz w:val="23"/>
                <w:szCs w:val="23"/>
              </w:rPr>
            </w:pPr>
            <w:r>
              <w:rPr>
                <w:sz w:val="23"/>
                <w:szCs w:val="23"/>
              </w:rPr>
              <w:t xml:space="preserve">     Em Senhora dos Remédios, foram notificados 02 surtos no primeiro semestre de 2019, sendo um total de 17 casos com evolução benigna. Todos os casos registrados foram em crianças.</w:t>
            </w:r>
          </w:p>
          <w:p w:rsidR="007E2CDA" w:rsidRPr="007E2CDA" w:rsidRDefault="007E2CDA" w:rsidP="004A5BA8">
            <w:pPr>
              <w:spacing w:before="100" w:beforeAutospacing="1" w:after="100" w:afterAutospacing="1"/>
              <w:rPr>
                <w:lang w:val="pt-BR"/>
              </w:rPr>
            </w:pPr>
            <w:r w:rsidRPr="007E2CDA">
              <w:rPr>
                <w:b/>
                <w:bCs/>
                <w:sz w:val="23"/>
                <w:szCs w:val="23"/>
                <w:lang w:val="pt-BR"/>
              </w:rPr>
              <w:t>Transmissibilidade</w:t>
            </w:r>
          </w:p>
          <w:p w:rsidR="007E2CDA" w:rsidRDefault="007E2CDA" w:rsidP="004A5BA8">
            <w:pPr>
              <w:pStyle w:val="Default"/>
              <w:rPr>
                <w:sz w:val="23"/>
                <w:szCs w:val="23"/>
              </w:rPr>
            </w:pPr>
            <w:r>
              <w:t xml:space="preserve"> </w:t>
            </w:r>
            <w:r>
              <w:rPr>
                <w:sz w:val="23"/>
                <w:szCs w:val="23"/>
              </w:rPr>
              <w:t xml:space="preserve">Os vírus que causam a doença podem ser encontrados em uma pessoa infectada: </w:t>
            </w:r>
          </w:p>
          <w:p w:rsidR="007E2CDA" w:rsidRDefault="007E2CDA" w:rsidP="004A5BA8">
            <w:pPr>
              <w:pStyle w:val="Default"/>
              <w:spacing w:after="2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Secreções do nariz e garganta (como saliva, expectoração ou muco nasal). </w:t>
            </w:r>
          </w:p>
          <w:p w:rsidR="007E2CDA" w:rsidRDefault="007E2CDA" w:rsidP="004A5BA8">
            <w:pPr>
              <w:pStyle w:val="Default"/>
              <w:spacing w:after="2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Fluido da bolha </w:t>
            </w:r>
          </w:p>
          <w:p w:rsidR="007E2CDA" w:rsidRDefault="007E2CDA" w:rsidP="004A5BA8">
            <w:pPr>
              <w:pStyle w:val="Default"/>
              <w:spacing w:after="2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Fezes: como trocar fraldas de uma pessoa infectada, não lavar as mãos após uso do banheiro. </w:t>
            </w:r>
          </w:p>
          <w:p w:rsidR="007E2CDA" w:rsidRDefault="007E2CDA" w:rsidP="004A5BA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Objetos e superfícies contaminados: como tocar nestes antes de lavar as mãos. </w:t>
            </w:r>
          </w:p>
          <w:p w:rsidR="007E2CDA" w:rsidRDefault="007E2CDA" w:rsidP="004A5BA8">
            <w:pPr>
              <w:pStyle w:val="Default"/>
              <w:rPr>
                <w:sz w:val="23"/>
                <w:szCs w:val="23"/>
              </w:rPr>
            </w:pPr>
          </w:p>
          <w:p w:rsidR="00751E81" w:rsidRDefault="007E2CDA" w:rsidP="00751E81">
            <w:pPr>
              <w:pStyle w:val="Default"/>
              <w:rPr>
                <w:sz w:val="23"/>
                <w:szCs w:val="23"/>
              </w:rPr>
            </w:pPr>
            <w:r>
              <w:rPr>
                <w:sz w:val="23"/>
                <w:szCs w:val="23"/>
              </w:rPr>
              <w:t xml:space="preserve">A transmissão se dá pela via oral ou fecal, através do contato direto com secreções de via respiratória (saliva), feridas que se formam nas mãos e pés e pelo contato cm as fezes de pessoas infectadas ou então através de alimentos e </w:t>
            </w:r>
            <w:r>
              <w:rPr>
                <w:sz w:val="23"/>
                <w:szCs w:val="23"/>
              </w:rPr>
              <w:lastRenderedPageBreak/>
              <w:t xml:space="preserve">de objetos contaminados. </w:t>
            </w:r>
          </w:p>
          <w:p w:rsidR="007E2CDA" w:rsidRDefault="007E2CDA" w:rsidP="004A5BA8">
            <w:pPr>
              <w:spacing w:before="100" w:beforeAutospacing="1" w:after="100" w:afterAutospacing="1"/>
              <w:rPr>
                <w:sz w:val="23"/>
                <w:szCs w:val="23"/>
                <w:lang w:val="pt-BR"/>
              </w:rPr>
            </w:pPr>
            <w:r w:rsidRPr="000A2739">
              <w:rPr>
                <w:sz w:val="23"/>
                <w:szCs w:val="23"/>
                <w:lang w:val="pt-BR"/>
              </w:rPr>
              <w:t>Mesmo depois de recuperada, a pessoa pode transmitir o vírus pelas fezes durante aproximadamente quatro semanas.</w:t>
            </w:r>
          </w:p>
          <w:p w:rsidR="007E2CDA" w:rsidRPr="000A2739" w:rsidRDefault="007E2CDA" w:rsidP="004A5BA8">
            <w:pPr>
              <w:spacing w:before="100" w:beforeAutospacing="1" w:after="100" w:afterAutospacing="1"/>
              <w:rPr>
                <w:b/>
                <w:bCs/>
                <w:sz w:val="23"/>
                <w:szCs w:val="23"/>
                <w:lang w:val="pt-BR"/>
              </w:rPr>
            </w:pPr>
            <w:r w:rsidRPr="007E2CDA">
              <w:rPr>
                <w:b/>
                <w:bCs/>
                <w:sz w:val="23"/>
                <w:szCs w:val="23"/>
                <w:lang w:val="pt-BR"/>
              </w:rPr>
              <w:t>Sinais e Sintomas</w:t>
            </w:r>
          </w:p>
          <w:p w:rsidR="007E2CDA" w:rsidRDefault="007E2CDA" w:rsidP="004A5BA8">
            <w:pPr>
              <w:spacing w:before="100" w:beforeAutospacing="1" w:after="100" w:afterAutospacing="1"/>
              <w:rPr>
                <w:noProof/>
                <w:lang w:val="pt-BR" w:eastAsia="pt-BR"/>
              </w:rPr>
            </w:pPr>
            <w:r>
              <w:rPr>
                <w:noProof/>
                <w:lang w:val="pt-BR" w:eastAsia="pt-BR"/>
              </w:rPr>
              <w:drawing>
                <wp:inline distT="0" distB="0" distL="0" distR="0">
                  <wp:extent cx="2113168" cy="1504950"/>
                  <wp:effectExtent l="19050" t="0" r="1382" b="0"/>
                  <wp:docPr id="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13168" cy="1504950"/>
                          </a:xfrm>
                          <a:prstGeom prst="rect">
                            <a:avLst/>
                          </a:prstGeom>
                          <a:noFill/>
                          <a:ln w="9525">
                            <a:noFill/>
                            <a:miter lim="800000"/>
                            <a:headEnd/>
                            <a:tailEnd/>
                          </a:ln>
                        </pic:spPr>
                      </pic:pic>
                    </a:graphicData>
                  </a:graphic>
                </wp:inline>
              </w:drawing>
            </w:r>
            <w:r>
              <w:rPr>
                <w:noProof/>
                <w:lang w:val="pt-BR" w:eastAsia="pt-BR"/>
              </w:rPr>
              <w:t xml:space="preserve"> </w:t>
            </w:r>
            <w:r>
              <w:rPr>
                <w:noProof/>
                <w:lang w:val="pt-BR" w:eastAsia="pt-BR"/>
              </w:rPr>
              <w:drawing>
                <wp:inline distT="0" distB="0" distL="0" distR="0">
                  <wp:extent cx="2113280" cy="1503734"/>
                  <wp:effectExtent l="19050" t="0" r="1270" b="0"/>
                  <wp:docPr id="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113280" cy="1503734"/>
                          </a:xfrm>
                          <a:prstGeom prst="rect">
                            <a:avLst/>
                          </a:prstGeom>
                          <a:noFill/>
                          <a:ln w="9525">
                            <a:noFill/>
                            <a:miter lim="800000"/>
                            <a:headEnd/>
                            <a:tailEnd/>
                          </a:ln>
                        </pic:spPr>
                      </pic:pic>
                    </a:graphicData>
                  </a:graphic>
                </wp:inline>
              </w:drawing>
            </w:r>
          </w:p>
          <w:p w:rsidR="004937EA" w:rsidRPr="00751E81" w:rsidRDefault="004937EA" w:rsidP="004937EA">
            <w:pPr>
              <w:pStyle w:val="Default"/>
              <w:rPr>
                <w:sz w:val="23"/>
                <w:szCs w:val="23"/>
              </w:rPr>
            </w:pPr>
            <w:r w:rsidRPr="00751E81">
              <w:rPr>
                <w:sz w:val="23"/>
                <w:szCs w:val="23"/>
              </w:rPr>
              <w:t xml:space="preserve">O período de incubação é de 4 a 6 dias. </w:t>
            </w:r>
          </w:p>
          <w:p w:rsidR="004937EA" w:rsidRPr="00751E81" w:rsidRDefault="004937EA" w:rsidP="004937EA">
            <w:pPr>
              <w:pStyle w:val="Default"/>
              <w:rPr>
                <w:sz w:val="23"/>
                <w:szCs w:val="23"/>
              </w:rPr>
            </w:pPr>
            <w:r w:rsidRPr="00751E81">
              <w:rPr>
                <w:sz w:val="23"/>
                <w:szCs w:val="23"/>
              </w:rPr>
              <w:t xml:space="preserve">Geralmente a doença inicia-se com febre (38°C a 38°C). Apesar de pouco frequente podem ocorrer casos sem febre. Um a dois dias após surgem aftas dolorosas e gânglios aumentados no pescoço. A seguir, surge nos pés e nas mãos suma infecção moderada sob a forma de pequenas bolhas não pruriginosas e não dolorosas, de cor acinzentada com base avermelhada. Essas lesões podem aparecer também na área da fralda (coxas e nádegas) e eventualmente podem coçar. Em geral, regridem juntamente com a febre, entre 5 e 7 dias, mas as bolhas na boca podem permanecer até quatro semanas. É comum que a criança também sofra de dores de cabeça e acentuada inapetência. </w:t>
            </w:r>
          </w:p>
          <w:p w:rsidR="004937EA" w:rsidRDefault="004937EA" w:rsidP="004937EA">
            <w:pPr>
              <w:jc w:val="both"/>
              <w:rPr>
                <w:sz w:val="23"/>
                <w:szCs w:val="23"/>
                <w:lang w:val="pt-BR"/>
              </w:rPr>
            </w:pPr>
            <w:r w:rsidRPr="00751E81">
              <w:rPr>
                <w:sz w:val="23"/>
                <w:szCs w:val="23"/>
                <w:lang w:val="pt-BR"/>
              </w:rPr>
              <w:t>Um a dois dias após o início da febre surge lesões característica na boca (Herpangina), geralmente começam como pequenas manchas vermelhas, que podem A maioria dos casos da SMPB ocorrem de forma benigna e autolimitada e as lesões regridem espontaneamente e sem cicatrizes.</w:t>
            </w:r>
          </w:p>
          <w:p w:rsidR="0072445D" w:rsidRPr="00751E81" w:rsidRDefault="0072445D" w:rsidP="004937EA">
            <w:pPr>
              <w:jc w:val="both"/>
              <w:rPr>
                <w:sz w:val="23"/>
                <w:szCs w:val="23"/>
                <w:lang w:val="pt-BR"/>
              </w:rPr>
            </w:pPr>
          </w:p>
          <w:p w:rsidR="004937EA" w:rsidRDefault="004937EA" w:rsidP="004937EA">
            <w:pPr>
              <w:pStyle w:val="Default"/>
              <w:rPr>
                <w:b/>
                <w:bCs/>
                <w:sz w:val="23"/>
                <w:szCs w:val="23"/>
              </w:rPr>
            </w:pPr>
            <w:r w:rsidRPr="00751E81">
              <w:rPr>
                <w:b/>
                <w:bCs/>
                <w:sz w:val="23"/>
                <w:szCs w:val="23"/>
              </w:rPr>
              <w:t xml:space="preserve">Complicações: </w:t>
            </w:r>
          </w:p>
          <w:p w:rsidR="0072445D" w:rsidRPr="00751E81" w:rsidRDefault="0072445D" w:rsidP="004937EA">
            <w:pPr>
              <w:pStyle w:val="Default"/>
              <w:rPr>
                <w:b/>
                <w:sz w:val="23"/>
                <w:szCs w:val="23"/>
              </w:rPr>
            </w:pPr>
          </w:p>
          <w:p w:rsidR="004937EA" w:rsidRPr="00751E81" w:rsidRDefault="004937EA" w:rsidP="004937EA">
            <w:pPr>
              <w:pStyle w:val="Default"/>
              <w:rPr>
                <w:sz w:val="23"/>
                <w:szCs w:val="23"/>
              </w:rPr>
            </w:pPr>
            <w:r w:rsidRPr="00751E81">
              <w:rPr>
                <w:sz w:val="23"/>
                <w:szCs w:val="23"/>
              </w:rPr>
              <w:t xml:space="preserve">Nas crianças a desidratação é a complicação mais </w:t>
            </w:r>
            <w:r w:rsidR="00AB575F">
              <w:rPr>
                <w:sz w:val="23"/>
                <w:szCs w:val="23"/>
              </w:rPr>
              <w:pgNum/>
            </w:r>
            <w:r w:rsidR="00AB575F">
              <w:rPr>
                <w:sz w:val="23"/>
                <w:szCs w:val="23"/>
              </w:rPr>
              <w:t>reqüente</w:t>
            </w:r>
            <w:r w:rsidRPr="00751E81">
              <w:rPr>
                <w:sz w:val="23"/>
                <w:szCs w:val="23"/>
              </w:rPr>
              <w:t xml:space="preserve"> em virtude da febre e da ingesta inadequada de líquidos, devido a dor para engolir. </w:t>
            </w:r>
          </w:p>
          <w:p w:rsidR="004937EA" w:rsidRDefault="004937EA" w:rsidP="004937EA">
            <w:pPr>
              <w:pStyle w:val="Default"/>
              <w:rPr>
                <w:sz w:val="23"/>
                <w:szCs w:val="23"/>
              </w:rPr>
            </w:pPr>
            <w:r w:rsidRPr="00751E81">
              <w:rPr>
                <w:sz w:val="23"/>
                <w:szCs w:val="23"/>
              </w:rPr>
              <w:t xml:space="preserve">Outras complicações podem ocorrer, mas são raras, como meningite viral ou </w:t>
            </w:r>
            <w:r w:rsidR="00AB575F">
              <w:rPr>
                <w:sz w:val="23"/>
                <w:szCs w:val="23"/>
              </w:rPr>
              <w:t>“</w:t>
            </w:r>
            <w:r w:rsidRPr="00751E81">
              <w:rPr>
                <w:sz w:val="23"/>
                <w:szCs w:val="23"/>
              </w:rPr>
              <w:t>asséptica</w:t>
            </w:r>
            <w:r w:rsidR="00AB575F">
              <w:rPr>
                <w:sz w:val="23"/>
                <w:szCs w:val="23"/>
              </w:rPr>
              <w:t>”</w:t>
            </w:r>
            <w:r w:rsidRPr="00751E81">
              <w:rPr>
                <w:sz w:val="23"/>
                <w:szCs w:val="23"/>
              </w:rPr>
              <w:t xml:space="preserve">, encefalite e ou encefalomielite e Paralisia Flácida Aguda. </w:t>
            </w:r>
          </w:p>
          <w:p w:rsidR="00AB575F" w:rsidRPr="00751E81" w:rsidRDefault="00AB575F" w:rsidP="004937EA">
            <w:pPr>
              <w:pStyle w:val="Default"/>
              <w:rPr>
                <w:sz w:val="23"/>
                <w:szCs w:val="23"/>
              </w:rPr>
            </w:pPr>
          </w:p>
          <w:p w:rsidR="00AB575F" w:rsidRDefault="004937EA" w:rsidP="004937EA">
            <w:pPr>
              <w:pStyle w:val="Default"/>
              <w:rPr>
                <w:b/>
                <w:bCs/>
                <w:sz w:val="23"/>
                <w:szCs w:val="23"/>
              </w:rPr>
            </w:pPr>
            <w:r w:rsidRPr="00AB575F">
              <w:rPr>
                <w:b/>
                <w:bCs/>
                <w:sz w:val="23"/>
                <w:szCs w:val="23"/>
              </w:rPr>
              <w:t>Diagnóstico</w:t>
            </w:r>
            <w:r w:rsidR="00AB575F">
              <w:rPr>
                <w:b/>
                <w:bCs/>
                <w:sz w:val="23"/>
                <w:szCs w:val="23"/>
              </w:rPr>
              <w:t>:</w:t>
            </w:r>
          </w:p>
          <w:p w:rsidR="004937EA" w:rsidRPr="00AB575F" w:rsidRDefault="004937EA" w:rsidP="004937EA">
            <w:pPr>
              <w:pStyle w:val="Default"/>
              <w:rPr>
                <w:b/>
                <w:sz w:val="23"/>
                <w:szCs w:val="23"/>
              </w:rPr>
            </w:pPr>
            <w:r w:rsidRPr="00AB575F">
              <w:rPr>
                <w:b/>
                <w:bCs/>
                <w:sz w:val="23"/>
                <w:szCs w:val="23"/>
              </w:rPr>
              <w:t xml:space="preserve"> </w:t>
            </w:r>
          </w:p>
          <w:p w:rsidR="004937EA" w:rsidRPr="00751E81" w:rsidRDefault="004937EA" w:rsidP="004937EA">
            <w:pPr>
              <w:pStyle w:val="Default"/>
              <w:rPr>
                <w:sz w:val="23"/>
                <w:szCs w:val="23"/>
              </w:rPr>
            </w:pPr>
            <w:r w:rsidRPr="00751E81">
              <w:rPr>
                <w:sz w:val="23"/>
                <w:szCs w:val="23"/>
              </w:rPr>
              <w:t xml:space="preserve">O diagnóstico é clínico, baseado nos sintomas, localização e aparência das lesões. Em alguns casos, os exames de fezes e a sorologia podem ajudar a identificar o tipo de vírus causador da infecção. O LACEN estadual-FUNED não realiza este exame de rotina. Somente para fins epidemiológicos, em surtos de grande magnitude, os exames encaminhados para a FIOCRUZ-RJ. </w:t>
            </w:r>
          </w:p>
          <w:p w:rsidR="004937EA" w:rsidRPr="00751E81" w:rsidRDefault="004937EA" w:rsidP="004937EA">
            <w:pPr>
              <w:pStyle w:val="Default"/>
              <w:rPr>
                <w:sz w:val="23"/>
                <w:szCs w:val="23"/>
              </w:rPr>
            </w:pPr>
            <w:r w:rsidRPr="00751E81">
              <w:rPr>
                <w:sz w:val="23"/>
                <w:szCs w:val="23"/>
              </w:rPr>
              <w:t xml:space="preserve">É importante estabelecer o diagnóstico diferencial com outras doenças que também provocam estomatites aftosas ou vesículas na pele. </w:t>
            </w:r>
          </w:p>
          <w:p w:rsidR="004937EA" w:rsidRDefault="004937EA" w:rsidP="004A5BA8">
            <w:pPr>
              <w:spacing w:before="100" w:beforeAutospacing="1" w:after="100" w:afterAutospacing="1"/>
              <w:rPr>
                <w:noProof/>
                <w:lang w:val="pt-BR" w:eastAsia="pt-BR"/>
              </w:rPr>
            </w:pPr>
          </w:p>
          <w:p w:rsidR="004937EA" w:rsidRPr="000A2739" w:rsidRDefault="004937EA" w:rsidP="004937EA">
            <w:pPr>
              <w:spacing w:before="100" w:beforeAutospacing="1" w:after="100" w:afterAutospacing="1"/>
              <w:rPr>
                <w:noProof/>
                <w:lang w:val="pt-BR" w:eastAsia="pt-BR"/>
              </w:rPr>
            </w:pPr>
          </w:p>
        </w:tc>
      </w:tr>
      <w:tr w:rsidR="007E2CDA" w:rsidRPr="004937EA" w:rsidTr="002E4232">
        <w:trPr>
          <w:trHeight w:val="9975"/>
        </w:trPr>
        <w:tc>
          <w:tcPr>
            <w:tcW w:w="3126" w:type="dxa"/>
            <w:tcBorders>
              <w:top w:val="nil"/>
              <w:left w:val="single" w:sz="4" w:space="0" w:color="FFFFFF"/>
              <w:bottom w:val="nil"/>
              <w:right w:val="nil"/>
            </w:tcBorders>
            <w:shd w:val="clear" w:color="auto" w:fill="9BBB59" w:themeFill="accent3"/>
          </w:tcPr>
          <w:p w:rsidR="007E2CDA" w:rsidRPr="003B6F69" w:rsidRDefault="007E2CDA">
            <w:pPr>
              <w:pStyle w:val="Ttulodondiceanaltico"/>
              <w:rPr>
                <w:color w:val="000000" w:themeColor="text1"/>
                <w:lang w:val="pt-BR"/>
              </w:rPr>
            </w:pPr>
          </w:p>
        </w:tc>
        <w:tc>
          <w:tcPr>
            <w:tcW w:w="7934" w:type="dxa"/>
            <w:tcBorders>
              <w:top w:val="nil"/>
              <w:left w:val="single" w:sz="4" w:space="0" w:color="FFFFFF"/>
              <w:bottom w:val="nil"/>
              <w:right w:val="single" w:sz="4" w:space="0" w:color="FFFFFF"/>
            </w:tcBorders>
            <w:shd w:val="clear" w:color="auto" w:fill="FFFFFF"/>
            <w:tcMar>
              <w:top w:w="504" w:type="dxa"/>
              <w:left w:w="288" w:type="dxa"/>
              <w:bottom w:w="288" w:type="dxa"/>
              <w:right w:w="288" w:type="dxa"/>
            </w:tcMar>
          </w:tcPr>
          <w:p w:rsidR="007E2CDA" w:rsidRDefault="007E2CDA" w:rsidP="004A5BA8">
            <w:pPr>
              <w:jc w:val="both"/>
              <w:rPr>
                <w:b/>
                <w:bCs/>
                <w:sz w:val="23"/>
                <w:szCs w:val="23"/>
                <w:lang w:val="pt-BR"/>
              </w:rPr>
            </w:pPr>
            <w:r w:rsidRPr="004937EA">
              <w:rPr>
                <w:b/>
                <w:bCs/>
                <w:sz w:val="23"/>
                <w:szCs w:val="23"/>
                <w:lang w:val="pt-BR"/>
              </w:rPr>
              <w:t>Tratamento</w:t>
            </w:r>
            <w:r w:rsidR="004937EA">
              <w:rPr>
                <w:b/>
                <w:bCs/>
                <w:sz w:val="23"/>
                <w:szCs w:val="23"/>
                <w:lang w:val="pt-BR"/>
              </w:rPr>
              <w:t>:</w:t>
            </w:r>
          </w:p>
          <w:p w:rsidR="00AB575F" w:rsidRPr="00751E81" w:rsidRDefault="00AB575F" w:rsidP="004A5BA8">
            <w:pPr>
              <w:jc w:val="both"/>
              <w:rPr>
                <w:rFonts w:ascii="Arial" w:hAnsi="Arial" w:cs="Arial"/>
                <w:i/>
                <w:lang w:val="pt-BR"/>
              </w:rPr>
            </w:pPr>
          </w:p>
          <w:p w:rsidR="007E2CDA" w:rsidRPr="00751E81" w:rsidRDefault="007E2CDA" w:rsidP="004A5BA8">
            <w:pPr>
              <w:pStyle w:val="Default"/>
              <w:rPr>
                <w:sz w:val="23"/>
                <w:szCs w:val="23"/>
              </w:rPr>
            </w:pPr>
            <w:r w:rsidRPr="00751E81">
              <w:rPr>
                <w:sz w:val="23"/>
                <w:szCs w:val="23"/>
              </w:rPr>
              <w:t xml:space="preserve">Não há tratamento específico, este deve ser sintomático. </w:t>
            </w:r>
          </w:p>
          <w:p w:rsidR="007E2CDA" w:rsidRPr="00751E81" w:rsidRDefault="007E2CDA" w:rsidP="004A5BA8">
            <w:pPr>
              <w:pStyle w:val="Default"/>
              <w:rPr>
                <w:sz w:val="23"/>
                <w:szCs w:val="23"/>
              </w:rPr>
            </w:pPr>
            <w:r w:rsidRPr="00751E81">
              <w:rPr>
                <w:sz w:val="23"/>
                <w:szCs w:val="23"/>
              </w:rPr>
              <w:t xml:space="preserve">Em geral, como ocorre com outras infecções por vírus, ela regride espontaneamente depois de alguns dias. Por isso, na maior parte dos casos, o tratamento é sintomático com antitérmicos e analgésico. O ideal é que o paciente permaneça em repouso, tome bastante líquido e alimente-se bem, apesar da dor de garganta. </w:t>
            </w:r>
          </w:p>
          <w:p w:rsidR="007E2CDA" w:rsidRPr="00751E81" w:rsidRDefault="007E2CDA" w:rsidP="004A5BA8">
            <w:pPr>
              <w:pStyle w:val="Default"/>
              <w:rPr>
                <w:sz w:val="23"/>
                <w:szCs w:val="23"/>
              </w:rPr>
            </w:pPr>
            <w:r w:rsidRPr="00751E81">
              <w:rPr>
                <w:bCs/>
                <w:sz w:val="23"/>
                <w:szCs w:val="23"/>
              </w:rPr>
              <w:t xml:space="preserve">Prevenção </w:t>
            </w:r>
          </w:p>
          <w:p w:rsidR="007E2CDA" w:rsidRPr="00751E81" w:rsidRDefault="007E2CDA" w:rsidP="004A5BA8">
            <w:pPr>
              <w:pStyle w:val="Default"/>
              <w:rPr>
                <w:sz w:val="23"/>
                <w:szCs w:val="23"/>
              </w:rPr>
            </w:pPr>
            <w:r w:rsidRPr="00751E81">
              <w:rPr>
                <w:sz w:val="23"/>
                <w:szCs w:val="23"/>
              </w:rPr>
              <w:t xml:space="preserve">Ainda não existe vacina contra a doença mão-pé-boca. </w:t>
            </w:r>
          </w:p>
          <w:p w:rsidR="007E2CDA" w:rsidRPr="00751E81" w:rsidRDefault="007E2CDA" w:rsidP="004A5BA8">
            <w:pPr>
              <w:pStyle w:val="Default"/>
              <w:rPr>
                <w:sz w:val="23"/>
                <w:szCs w:val="23"/>
              </w:rPr>
            </w:pPr>
            <w:r w:rsidRPr="00751E81">
              <w:rPr>
                <w:sz w:val="23"/>
                <w:szCs w:val="23"/>
              </w:rPr>
              <w:t xml:space="preserve">É importante adotar medidas de prevenção e interrupção da cadeia de transmissão como: </w:t>
            </w:r>
          </w:p>
          <w:p w:rsidR="007E2CDA" w:rsidRPr="00751E81" w:rsidRDefault="007E2CDA" w:rsidP="004A5BA8">
            <w:pPr>
              <w:pStyle w:val="Default"/>
              <w:rPr>
                <w:sz w:val="23"/>
                <w:szCs w:val="23"/>
              </w:rPr>
            </w:pPr>
            <w:r w:rsidRPr="00751E81">
              <w:rPr>
                <w:rFonts w:ascii="Wingdings" w:hAnsi="Wingdings" w:cs="Wingdings"/>
                <w:sz w:val="23"/>
                <w:szCs w:val="23"/>
              </w:rPr>
              <w:t></w:t>
            </w:r>
            <w:r w:rsidRPr="00751E81">
              <w:rPr>
                <w:rFonts w:ascii="Wingdings" w:hAnsi="Wingdings" w:cs="Wingdings"/>
                <w:sz w:val="23"/>
                <w:szCs w:val="23"/>
              </w:rPr>
              <w:t></w:t>
            </w:r>
            <w:r w:rsidRPr="00751E81">
              <w:rPr>
                <w:sz w:val="23"/>
                <w:szCs w:val="23"/>
              </w:rPr>
              <w:t xml:space="preserve">Lavar as mãos frequentemente com água e sabão, especialmente ao lidar com a criança doente, principalmente depois de trocar fraldas </w:t>
            </w:r>
          </w:p>
          <w:p w:rsidR="007E2CDA" w:rsidRPr="00751E81" w:rsidRDefault="007E2CDA" w:rsidP="004A5BA8">
            <w:pPr>
              <w:autoSpaceDE w:val="0"/>
              <w:autoSpaceDN w:val="0"/>
              <w:adjustRightInd w:val="0"/>
              <w:rPr>
                <w:rFonts w:ascii="Wingdings" w:hAnsi="Wingdings" w:cs="Wingdings"/>
                <w:color w:val="000000"/>
                <w:lang w:val="pt-BR"/>
              </w:rPr>
            </w:pPr>
          </w:p>
          <w:p w:rsidR="007E2CDA" w:rsidRPr="00751E81" w:rsidRDefault="007E2CDA" w:rsidP="004A5BA8">
            <w:pPr>
              <w:autoSpaceDE w:val="0"/>
              <w:autoSpaceDN w:val="0"/>
              <w:adjustRightInd w:val="0"/>
              <w:spacing w:after="60"/>
              <w:rPr>
                <w:rFonts w:ascii="Calibri" w:hAnsi="Calibri" w:cs="Calibri"/>
                <w:color w:val="000000"/>
                <w:sz w:val="23"/>
                <w:szCs w:val="23"/>
                <w:lang w:val="pt-BR"/>
              </w:rPr>
            </w:pPr>
            <w:r w:rsidRPr="00751E81">
              <w:rPr>
                <w:rFonts w:ascii="Wingdings" w:hAnsi="Wingdings" w:cs="Wingdings"/>
                <w:color w:val="000000"/>
                <w:sz w:val="23"/>
                <w:szCs w:val="23"/>
                <w:lang w:val="pt-BR"/>
              </w:rPr>
              <w:t></w:t>
            </w:r>
            <w:r w:rsidRPr="00751E81">
              <w:rPr>
                <w:rFonts w:ascii="Wingdings" w:hAnsi="Wingdings" w:cs="Wingdings"/>
                <w:color w:val="000000"/>
                <w:sz w:val="23"/>
                <w:szCs w:val="23"/>
                <w:lang w:val="pt-BR"/>
              </w:rPr>
              <w:t></w:t>
            </w:r>
            <w:r w:rsidRPr="00751E81">
              <w:rPr>
                <w:rFonts w:ascii="Calibri" w:hAnsi="Calibri" w:cs="Calibri"/>
                <w:color w:val="000000"/>
                <w:sz w:val="23"/>
                <w:szCs w:val="23"/>
                <w:lang w:val="pt-BR"/>
              </w:rPr>
              <w:t xml:space="preserve">Limpar e desinfetar superfícies tocadas com frequência e itens sujos, incluindo brinquedos. </w:t>
            </w:r>
          </w:p>
          <w:p w:rsidR="007E2CDA" w:rsidRPr="00751E81" w:rsidRDefault="007E2CDA" w:rsidP="004A5BA8">
            <w:pPr>
              <w:autoSpaceDE w:val="0"/>
              <w:autoSpaceDN w:val="0"/>
              <w:adjustRightInd w:val="0"/>
              <w:rPr>
                <w:rFonts w:ascii="Calibri" w:hAnsi="Calibri" w:cs="Calibri"/>
                <w:color w:val="000000"/>
                <w:sz w:val="23"/>
                <w:szCs w:val="23"/>
                <w:lang w:val="pt-BR"/>
              </w:rPr>
            </w:pPr>
            <w:r w:rsidRPr="00751E81">
              <w:rPr>
                <w:rFonts w:ascii="Wingdings" w:hAnsi="Wingdings" w:cs="Wingdings"/>
                <w:color w:val="000000"/>
                <w:sz w:val="23"/>
                <w:szCs w:val="23"/>
                <w:lang w:val="pt-BR"/>
              </w:rPr>
              <w:t></w:t>
            </w:r>
            <w:r w:rsidRPr="00751E81">
              <w:rPr>
                <w:rFonts w:ascii="Wingdings" w:hAnsi="Wingdings" w:cs="Wingdings"/>
                <w:color w:val="000000"/>
                <w:sz w:val="23"/>
                <w:szCs w:val="23"/>
                <w:lang w:val="pt-BR"/>
              </w:rPr>
              <w:t></w:t>
            </w:r>
            <w:r w:rsidRPr="00751E81">
              <w:rPr>
                <w:rFonts w:ascii="Calibri" w:hAnsi="Calibri" w:cs="Calibri"/>
                <w:color w:val="000000"/>
                <w:sz w:val="23"/>
                <w:szCs w:val="23"/>
                <w:lang w:val="pt-BR"/>
              </w:rPr>
              <w:t xml:space="preserve">Evitar contato próximo, como beijar, abraçar ou compartilhar utensílios com pessoas com problemas de mãos, pés e boca. </w:t>
            </w:r>
          </w:p>
          <w:p w:rsidR="007E2CDA" w:rsidRPr="00751E81" w:rsidRDefault="007E2CDA" w:rsidP="004A5BA8">
            <w:pPr>
              <w:autoSpaceDE w:val="0"/>
              <w:autoSpaceDN w:val="0"/>
              <w:adjustRightInd w:val="0"/>
              <w:rPr>
                <w:rFonts w:ascii="Calibri" w:hAnsi="Calibri" w:cs="Calibri"/>
                <w:color w:val="000000"/>
                <w:sz w:val="23"/>
                <w:szCs w:val="23"/>
                <w:lang w:val="pt-BR"/>
              </w:rPr>
            </w:pPr>
            <w:r w:rsidRPr="00751E81">
              <w:rPr>
                <w:rFonts w:ascii="Calibri" w:hAnsi="Calibri" w:cs="Calibri"/>
                <w:bCs/>
                <w:color w:val="000000"/>
                <w:sz w:val="23"/>
                <w:szCs w:val="23"/>
                <w:lang w:val="pt-BR"/>
              </w:rPr>
              <w:t xml:space="preserve">Recomendações </w:t>
            </w:r>
          </w:p>
          <w:p w:rsidR="007E2CDA" w:rsidRPr="00751E81" w:rsidRDefault="007E2CDA" w:rsidP="004A5BA8">
            <w:pPr>
              <w:autoSpaceDE w:val="0"/>
              <w:autoSpaceDN w:val="0"/>
              <w:adjustRightInd w:val="0"/>
              <w:spacing w:after="7"/>
              <w:rPr>
                <w:rFonts w:ascii="Calibri" w:hAnsi="Calibri" w:cs="Calibri"/>
                <w:color w:val="000000"/>
                <w:sz w:val="23"/>
                <w:szCs w:val="23"/>
                <w:lang w:val="pt-BR"/>
              </w:rPr>
            </w:pPr>
            <w:r w:rsidRPr="00751E81">
              <w:rPr>
                <w:rFonts w:ascii="Wingdings" w:hAnsi="Wingdings" w:cs="Wingdings"/>
                <w:color w:val="000000"/>
                <w:sz w:val="23"/>
                <w:szCs w:val="23"/>
                <w:lang w:val="pt-BR"/>
              </w:rPr>
              <w:t></w:t>
            </w:r>
            <w:r w:rsidRPr="00751E81">
              <w:rPr>
                <w:rFonts w:ascii="Wingdings" w:hAnsi="Wingdings" w:cs="Wingdings"/>
                <w:color w:val="000000"/>
                <w:sz w:val="23"/>
                <w:szCs w:val="23"/>
                <w:lang w:val="pt-BR"/>
              </w:rPr>
              <w:t></w:t>
            </w:r>
            <w:r w:rsidRPr="00751E81">
              <w:rPr>
                <w:rFonts w:ascii="Calibri" w:hAnsi="Calibri" w:cs="Calibri"/>
                <w:color w:val="000000"/>
                <w:sz w:val="23"/>
                <w:szCs w:val="23"/>
                <w:lang w:val="pt-BR"/>
              </w:rPr>
              <w:t xml:space="preserve">Nem sempre a infecção pelo vírus Coxsackie provoca todos os sintomas clássicos da síndrome. Há casos em que surgem lesões parecidas com aftas na boca ou as erupções cutâneas; em outros, a febre e a dor de garganta são os sintomas predominantes; </w:t>
            </w:r>
          </w:p>
          <w:p w:rsidR="007E2CDA" w:rsidRPr="00751E81" w:rsidRDefault="007E2CDA" w:rsidP="004A5BA8">
            <w:pPr>
              <w:autoSpaceDE w:val="0"/>
              <w:autoSpaceDN w:val="0"/>
              <w:adjustRightInd w:val="0"/>
              <w:spacing w:after="7"/>
              <w:rPr>
                <w:rFonts w:ascii="Calibri" w:hAnsi="Calibri" w:cs="Calibri"/>
                <w:color w:val="000000"/>
                <w:sz w:val="23"/>
                <w:szCs w:val="23"/>
                <w:lang w:val="pt-BR"/>
              </w:rPr>
            </w:pPr>
            <w:r w:rsidRPr="00751E81">
              <w:rPr>
                <w:rFonts w:ascii="Wingdings" w:hAnsi="Wingdings" w:cs="Wingdings"/>
                <w:color w:val="000000"/>
                <w:sz w:val="23"/>
                <w:szCs w:val="23"/>
                <w:lang w:val="pt-BR"/>
              </w:rPr>
              <w:t></w:t>
            </w:r>
            <w:r w:rsidRPr="00751E81">
              <w:rPr>
                <w:rFonts w:ascii="Wingdings" w:hAnsi="Wingdings" w:cs="Wingdings"/>
                <w:color w:val="000000"/>
                <w:sz w:val="23"/>
                <w:szCs w:val="23"/>
                <w:lang w:val="pt-BR"/>
              </w:rPr>
              <w:t></w:t>
            </w:r>
            <w:r w:rsidRPr="00751E81">
              <w:rPr>
                <w:rFonts w:ascii="Calibri" w:hAnsi="Calibri" w:cs="Calibri"/>
                <w:color w:val="000000"/>
                <w:sz w:val="23"/>
                <w:szCs w:val="23"/>
                <w:lang w:val="pt-BR"/>
              </w:rPr>
              <w:t xml:space="preserve">Deve-se evitar a Ingestão de alimentos ácidos, muito quentes e condimentados. Dê preferência a alimentos pastosos; </w:t>
            </w:r>
          </w:p>
          <w:p w:rsidR="004937EA" w:rsidRPr="00751E81" w:rsidRDefault="007E2CDA" w:rsidP="004A5BA8">
            <w:pPr>
              <w:autoSpaceDE w:val="0"/>
              <w:autoSpaceDN w:val="0"/>
              <w:adjustRightInd w:val="0"/>
              <w:rPr>
                <w:rFonts w:ascii="Calibri" w:hAnsi="Calibri" w:cs="Calibri"/>
                <w:color w:val="000000"/>
                <w:sz w:val="23"/>
                <w:szCs w:val="23"/>
                <w:lang w:val="pt-BR"/>
              </w:rPr>
            </w:pPr>
            <w:r w:rsidRPr="00751E81">
              <w:rPr>
                <w:rFonts w:ascii="Wingdings" w:hAnsi="Wingdings" w:cs="Wingdings"/>
                <w:color w:val="000000"/>
                <w:sz w:val="23"/>
                <w:szCs w:val="23"/>
                <w:lang w:val="pt-BR"/>
              </w:rPr>
              <w:t></w:t>
            </w:r>
            <w:r w:rsidRPr="00751E81">
              <w:rPr>
                <w:rFonts w:ascii="Wingdings" w:hAnsi="Wingdings" w:cs="Wingdings"/>
                <w:color w:val="000000"/>
                <w:sz w:val="23"/>
                <w:szCs w:val="23"/>
                <w:lang w:val="pt-BR"/>
              </w:rPr>
              <w:t></w:t>
            </w:r>
            <w:r w:rsidRPr="00751E81">
              <w:rPr>
                <w:rFonts w:ascii="Calibri" w:hAnsi="Calibri" w:cs="Calibri"/>
                <w:color w:val="000000"/>
                <w:sz w:val="23"/>
                <w:szCs w:val="23"/>
                <w:lang w:val="pt-BR"/>
              </w:rPr>
              <w:t xml:space="preserve">Crianças devem ficar em casa, sem ir à escola, enquanto durar a infecção; </w:t>
            </w:r>
          </w:p>
          <w:p w:rsidR="007E2CDA" w:rsidRPr="00751E81" w:rsidRDefault="007E2CDA" w:rsidP="004A5BA8">
            <w:pPr>
              <w:autoSpaceDE w:val="0"/>
              <w:autoSpaceDN w:val="0"/>
              <w:adjustRightInd w:val="0"/>
              <w:rPr>
                <w:rFonts w:ascii="Calibri" w:hAnsi="Calibri" w:cs="Calibri"/>
                <w:color w:val="000000"/>
                <w:sz w:val="23"/>
                <w:szCs w:val="23"/>
                <w:lang w:val="pt-BR"/>
              </w:rPr>
            </w:pPr>
          </w:p>
          <w:p w:rsidR="007E2CDA" w:rsidRPr="00751E81" w:rsidRDefault="007E2CDA" w:rsidP="004A5BA8">
            <w:pPr>
              <w:jc w:val="both"/>
              <w:rPr>
                <w:rFonts w:ascii="Arial" w:hAnsi="Arial" w:cs="Arial"/>
                <w:i/>
                <w:lang w:val="pt-BR"/>
              </w:rPr>
            </w:pPr>
            <w:r w:rsidRPr="00751E81">
              <w:rPr>
                <w:rFonts w:ascii="Calibri" w:hAnsi="Calibri" w:cs="Calibri"/>
                <w:b/>
                <w:bCs/>
                <w:color w:val="000000"/>
                <w:sz w:val="23"/>
                <w:szCs w:val="23"/>
                <w:lang w:val="pt-BR" w:bidi="ar-SA"/>
              </w:rPr>
              <w:t>Vigilância em Saúde</w:t>
            </w:r>
          </w:p>
          <w:p w:rsidR="007E2CDA" w:rsidRPr="00751E81" w:rsidRDefault="007E2CDA" w:rsidP="004A5BA8">
            <w:pPr>
              <w:pStyle w:val="Default"/>
              <w:rPr>
                <w:sz w:val="23"/>
                <w:szCs w:val="23"/>
              </w:rPr>
            </w:pPr>
            <w:r w:rsidRPr="00751E81">
              <w:rPr>
                <w:sz w:val="23"/>
                <w:szCs w:val="23"/>
              </w:rPr>
              <w:t xml:space="preserve">Adotar medidas de prevenção mencionadas acima </w:t>
            </w:r>
          </w:p>
          <w:p w:rsidR="007E2CDA" w:rsidRPr="00751E81" w:rsidRDefault="007E2CDA" w:rsidP="004A5BA8">
            <w:pPr>
              <w:pStyle w:val="Default"/>
              <w:rPr>
                <w:sz w:val="23"/>
                <w:szCs w:val="23"/>
              </w:rPr>
            </w:pPr>
            <w:r w:rsidRPr="00751E81">
              <w:rPr>
                <w:sz w:val="23"/>
                <w:szCs w:val="23"/>
              </w:rPr>
              <w:t xml:space="preserve">Monitorar locais de maior risco (escolas, creches, clubes entre outros) </w:t>
            </w:r>
          </w:p>
          <w:p w:rsidR="007E2CDA" w:rsidRDefault="007E2CDA" w:rsidP="004A5BA8">
            <w:pPr>
              <w:pStyle w:val="Default"/>
              <w:rPr>
                <w:sz w:val="23"/>
                <w:szCs w:val="23"/>
              </w:rPr>
            </w:pPr>
            <w:r w:rsidRPr="00751E81">
              <w:rPr>
                <w:sz w:val="23"/>
                <w:szCs w:val="23"/>
              </w:rPr>
              <w:t xml:space="preserve">Orientar profissionais de saúde quanto: às medidas de prevenção e controle da cadeia de transmissão, tratamento sintomático e notificação de surtos. </w:t>
            </w:r>
          </w:p>
          <w:p w:rsidR="00AB575F" w:rsidRPr="00751E81" w:rsidRDefault="00AB575F" w:rsidP="004A5BA8">
            <w:pPr>
              <w:pStyle w:val="Default"/>
              <w:rPr>
                <w:sz w:val="23"/>
                <w:szCs w:val="23"/>
              </w:rPr>
            </w:pPr>
          </w:p>
          <w:p w:rsidR="00AB575F" w:rsidRPr="00AB575F" w:rsidRDefault="007E2CDA" w:rsidP="004A5BA8">
            <w:pPr>
              <w:pStyle w:val="Default"/>
              <w:rPr>
                <w:b/>
                <w:sz w:val="23"/>
                <w:szCs w:val="23"/>
              </w:rPr>
            </w:pPr>
            <w:r w:rsidRPr="00AB575F">
              <w:rPr>
                <w:b/>
                <w:bCs/>
                <w:sz w:val="23"/>
                <w:szCs w:val="23"/>
              </w:rPr>
              <w:t xml:space="preserve">Situações de Surtos da Doença: </w:t>
            </w:r>
          </w:p>
          <w:p w:rsidR="007E2CDA" w:rsidRPr="00751E81" w:rsidRDefault="007E2CDA" w:rsidP="004A5BA8">
            <w:pPr>
              <w:pStyle w:val="Default"/>
              <w:spacing w:after="63"/>
              <w:rPr>
                <w:sz w:val="23"/>
                <w:szCs w:val="23"/>
              </w:rPr>
            </w:pPr>
            <w:r w:rsidRPr="00751E81">
              <w:rPr>
                <w:rFonts w:ascii="Wingdings" w:hAnsi="Wingdings" w:cs="Wingdings"/>
                <w:sz w:val="23"/>
                <w:szCs w:val="23"/>
              </w:rPr>
              <w:t></w:t>
            </w:r>
            <w:r w:rsidRPr="00751E81">
              <w:rPr>
                <w:rFonts w:ascii="Wingdings" w:hAnsi="Wingdings" w:cs="Wingdings"/>
                <w:sz w:val="23"/>
                <w:szCs w:val="23"/>
              </w:rPr>
              <w:t></w:t>
            </w:r>
            <w:r w:rsidRPr="00751E81">
              <w:rPr>
                <w:bCs/>
                <w:sz w:val="23"/>
                <w:szCs w:val="23"/>
              </w:rPr>
              <w:t xml:space="preserve">Notificar o Surto: </w:t>
            </w:r>
            <w:r w:rsidRPr="00751E81">
              <w:rPr>
                <w:sz w:val="23"/>
                <w:szCs w:val="23"/>
              </w:rPr>
              <w:t xml:space="preserve">notificar a Secretaria Municipal de Saúde e a Secretaria Estadual de Saúde - Ficha de Notificação de Surto e planilha de acompanhamento do surto disponível no link: http://vigilancia.saude.mg.gov.br/index.php/sistemas-de-informacao/agravos-de-notificacao-sinan/ </w:t>
            </w:r>
          </w:p>
          <w:p w:rsidR="007E2CDA" w:rsidRPr="00751E81" w:rsidRDefault="007E2CDA" w:rsidP="004A5BA8">
            <w:pPr>
              <w:pStyle w:val="Default"/>
              <w:spacing w:after="63"/>
              <w:rPr>
                <w:sz w:val="23"/>
                <w:szCs w:val="23"/>
              </w:rPr>
            </w:pPr>
            <w:r w:rsidRPr="00751E81">
              <w:rPr>
                <w:rFonts w:ascii="Wingdings" w:hAnsi="Wingdings" w:cs="Wingdings"/>
                <w:sz w:val="23"/>
                <w:szCs w:val="23"/>
              </w:rPr>
              <w:t></w:t>
            </w:r>
            <w:r w:rsidRPr="00751E81">
              <w:rPr>
                <w:rFonts w:ascii="Wingdings" w:hAnsi="Wingdings" w:cs="Wingdings"/>
                <w:sz w:val="23"/>
                <w:szCs w:val="23"/>
              </w:rPr>
              <w:t></w:t>
            </w:r>
            <w:r w:rsidRPr="00751E81">
              <w:rPr>
                <w:bCs/>
                <w:sz w:val="23"/>
                <w:szCs w:val="23"/>
              </w:rPr>
              <w:t xml:space="preserve">Na Ficha de Notificação de Surto </w:t>
            </w:r>
            <w:r w:rsidRPr="00751E81">
              <w:rPr>
                <w:sz w:val="23"/>
                <w:szCs w:val="23"/>
              </w:rPr>
              <w:t xml:space="preserve">utilizar o </w:t>
            </w:r>
            <w:r w:rsidRPr="00751E81">
              <w:rPr>
                <w:bCs/>
                <w:i/>
                <w:iCs/>
                <w:sz w:val="23"/>
                <w:szCs w:val="23"/>
              </w:rPr>
              <w:t xml:space="preserve">CID10 – B08.4 </w:t>
            </w:r>
            <w:r w:rsidRPr="00751E81">
              <w:rPr>
                <w:sz w:val="23"/>
                <w:szCs w:val="23"/>
              </w:rPr>
              <w:t xml:space="preserve">(Estomatite vesicular devida a enterovírus com exantema (Síndrome pé-mão-boca) </w:t>
            </w:r>
          </w:p>
          <w:p w:rsidR="004937EA" w:rsidRDefault="007E2CDA" w:rsidP="004A5BA8">
            <w:pPr>
              <w:pStyle w:val="Default"/>
              <w:rPr>
                <w:bCs/>
                <w:sz w:val="23"/>
                <w:szCs w:val="23"/>
                <w:lang w:val="en-US"/>
              </w:rPr>
            </w:pPr>
            <w:r w:rsidRPr="00751E81">
              <w:rPr>
                <w:rFonts w:ascii="Wingdings" w:hAnsi="Wingdings" w:cs="Wingdings"/>
                <w:sz w:val="23"/>
                <w:szCs w:val="23"/>
              </w:rPr>
              <w:t></w:t>
            </w:r>
            <w:r w:rsidRPr="00751E81">
              <w:rPr>
                <w:rFonts w:ascii="Wingdings" w:hAnsi="Wingdings" w:cs="Wingdings"/>
                <w:sz w:val="23"/>
                <w:szCs w:val="23"/>
              </w:rPr>
              <w:t></w:t>
            </w:r>
            <w:r w:rsidRPr="00751E81">
              <w:rPr>
                <w:bCs/>
                <w:sz w:val="23"/>
                <w:szCs w:val="23"/>
              </w:rPr>
              <w:t xml:space="preserve">Na planilha de acompanhamento </w:t>
            </w:r>
            <w:r w:rsidRPr="00751E81">
              <w:rPr>
                <w:sz w:val="23"/>
                <w:szCs w:val="23"/>
              </w:rPr>
              <w:t xml:space="preserve">de cada caso utilizar o </w:t>
            </w:r>
            <w:r w:rsidRPr="00751E81">
              <w:rPr>
                <w:bCs/>
                <w:i/>
                <w:iCs/>
                <w:sz w:val="23"/>
                <w:szCs w:val="23"/>
              </w:rPr>
              <w:t xml:space="preserve">CID10- B08.4. </w:t>
            </w:r>
          </w:p>
          <w:p w:rsidR="0072445D" w:rsidRPr="004937EA" w:rsidRDefault="0072445D" w:rsidP="0072445D">
            <w:pPr>
              <w:spacing w:before="100" w:beforeAutospacing="1" w:after="100" w:afterAutospacing="1"/>
              <w:rPr>
                <w:szCs w:val="23"/>
                <w:lang w:val="pt-BR"/>
              </w:rPr>
            </w:pPr>
            <w:r w:rsidRPr="000A2739">
              <w:rPr>
                <w:sz w:val="23"/>
                <w:szCs w:val="23"/>
                <w:lang w:val="pt-BR"/>
              </w:rPr>
              <w:t xml:space="preserve">Fonte: </w:t>
            </w:r>
            <w:hyperlink r:id="rId11" w:history="1">
              <w:r w:rsidRPr="004937EA">
                <w:rPr>
                  <w:rStyle w:val="Hyperlink"/>
                  <w:rFonts w:ascii="Times New Roman" w:hAnsi="Times New Roman" w:cs="Times New Roman"/>
                  <w:color w:val="auto"/>
                  <w:sz w:val="24"/>
                  <w:szCs w:val="23"/>
                  <w:lang w:val="pt-BR"/>
                </w:rPr>
                <w:t>https://www.cdc.gov/hand-foot-mouth/about/signs-symptoms.html</w:t>
              </w:r>
            </w:hyperlink>
          </w:p>
          <w:p w:rsidR="004937EA" w:rsidRPr="0072445D" w:rsidRDefault="004937EA" w:rsidP="004A5BA8">
            <w:pPr>
              <w:pStyle w:val="Default"/>
              <w:rPr>
                <w:bCs/>
                <w:sz w:val="23"/>
                <w:szCs w:val="23"/>
              </w:rPr>
            </w:pPr>
          </w:p>
          <w:p w:rsidR="00751E81" w:rsidRPr="00751E81" w:rsidRDefault="00751E81" w:rsidP="002E4232">
            <w:pPr>
              <w:pStyle w:val="Default"/>
              <w:rPr>
                <w:b/>
                <w:sz w:val="23"/>
                <w:szCs w:val="23"/>
              </w:rPr>
            </w:pPr>
          </w:p>
          <w:p w:rsidR="00751E81" w:rsidRPr="00751E81" w:rsidRDefault="00751E81" w:rsidP="002E4232">
            <w:pPr>
              <w:pStyle w:val="Default"/>
              <w:rPr>
                <w:b/>
                <w:sz w:val="23"/>
                <w:szCs w:val="23"/>
              </w:rPr>
            </w:pPr>
          </w:p>
          <w:p w:rsidR="007E2CDA" w:rsidRPr="00751E81" w:rsidRDefault="007E2CDA" w:rsidP="004A5BA8">
            <w:pPr>
              <w:jc w:val="both"/>
              <w:rPr>
                <w:rFonts w:ascii="Arial" w:hAnsi="Arial" w:cs="Arial"/>
                <w:b/>
                <w:lang w:val="pt-BR" w:eastAsia="pt-BR"/>
              </w:rPr>
            </w:pPr>
            <w:r w:rsidRPr="00751E81">
              <w:rPr>
                <w:b/>
                <w:noProof/>
                <w:lang w:val="pt-BR" w:eastAsia="pt-BR"/>
              </w:rPr>
              <w:drawing>
                <wp:inline distT="0" distB="0" distL="0" distR="0">
                  <wp:extent cx="2152650" cy="1799041"/>
                  <wp:effectExtent l="19050" t="0" r="0" b="0"/>
                  <wp:docPr id="26" name="Imagem 22" descr="Resultado de imagem para IMAGENS DE VIGILANCIA AMBI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sultado de imagem para IMAGENS DE VIGILANCIA AMBIENTAL"/>
                          <pic:cNvPicPr>
                            <a:picLocks noChangeAspect="1" noChangeArrowheads="1"/>
                          </pic:cNvPicPr>
                        </pic:nvPicPr>
                        <pic:blipFill>
                          <a:blip r:embed="rId12" cstate="print"/>
                          <a:srcRect/>
                          <a:stretch>
                            <a:fillRect/>
                          </a:stretch>
                        </pic:blipFill>
                        <pic:spPr bwMode="auto">
                          <a:xfrm>
                            <a:off x="0" y="0"/>
                            <a:ext cx="2153014" cy="1799345"/>
                          </a:xfrm>
                          <a:prstGeom prst="rect">
                            <a:avLst/>
                          </a:prstGeom>
                          <a:noFill/>
                          <a:ln w="9525">
                            <a:noFill/>
                            <a:miter lim="800000"/>
                            <a:headEnd/>
                            <a:tailEnd/>
                          </a:ln>
                        </pic:spPr>
                      </pic:pic>
                    </a:graphicData>
                  </a:graphic>
                </wp:inline>
              </w:drawing>
            </w:r>
            <w:r w:rsidRPr="00751E81">
              <w:rPr>
                <w:b/>
                <w:noProof/>
                <w:lang w:val="pt-BR" w:eastAsia="pt-BR"/>
              </w:rPr>
              <w:drawing>
                <wp:inline distT="0" distB="0" distL="0" distR="0">
                  <wp:extent cx="2144031" cy="1800225"/>
                  <wp:effectExtent l="19050" t="0" r="8619" b="0"/>
                  <wp:docPr id="27" name="Imagem 25" descr="Resultado de imagem para IMAGENS DE VIGILANCIA AMBI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m para IMAGENS DE VIGILANCIA AMBIENTAL"/>
                          <pic:cNvPicPr>
                            <a:picLocks noChangeAspect="1" noChangeArrowheads="1"/>
                          </pic:cNvPicPr>
                        </pic:nvPicPr>
                        <pic:blipFill>
                          <a:blip r:embed="rId13"/>
                          <a:srcRect/>
                          <a:stretch>
                            <a:fillRect/>
                          </a:stretch>
                        </pic:blipFill>
                        <pic:spPr bwMode="auto">
                          <a:xfrm>
                            <a:off x="0" y="0"/>
                            <a:ext cx="2149300" cy="1804649"/>
                          </a:xfrm>
                          <a:prstGeom prst="rect">
                            <a:avLst/>
                          </a:prstGeom>
                          <a:noFill/>
                          <a:ln w="9525">
                            <a:noFill/>
                            <a:miter lim="800000"/>
                            <a:headEnd/>
                            <a:tailEnd/>
                          </a:ln>
                        </pic:spPr>
                      </pic:pic>
                    </a:graphicData>
                  </a:graphic>
                </wp:inline>
              </w:drawing>
            </w:r>
          </w:p>
          <w:p w:rsidR="007E2CDA" w:rsidRPr="00751E81" w:rsidRDefault="007E2CDA" w:rsidP="004A5BA8">
            <w:pPr>
              <w:jc w:val="both"/>
              <w:rPr>
                <w:rFonts w:ascii="Arial" w:hAnsi="Arial" w:cs="Arial"/>
                <w:b/>
                <w:lang w:val="pt-BR" w:eastAsia="pt-BR"/>
              </w:rPr>
            </w:pPr>
          </w:p>
          <w:p w:rsidR="007E2CDA" w:rsidRPr="00751E81" w:rsidRDefault="007E2CDA" w:rsidP="004A5BA8">
            <w:pPr>
              <w:jc w:val="both"/>
              <w:rPr>
                <w:rFonts w:ascii="Arial" w:hAnsi="Arial" w:cs="Arial"/>
                <w:b/>
                <w:spacing w:val="2"/>
                <w:shd w:val="clear" w:color="auto" w:fill="FFFFFF"/>
                <w:lang w:val="pt-BR"/>
              </w:rPr>
            </w:pPr>
            <w:r w:rsidRPr="00751E81">
              <w:rPr>
                <w:rFonts w:ascii="Arial" w:hAnsi="Arial" w:cs="Arial"/>
                <w:b/>
                <w:spacing w:val="2"/>
                <w:shd w:val="clear" w:color="auto" w:fill="FFFFFF"/>
                <w:lang w:val="pt-BR"/>
              </w:rPr>
              <w:t>.</w:t>
            </w:r>
          </w:p>
          <w:p w:rsidR="007E2CDA" w:rsidRDefault="007E2CDA" w:rsidP="004A5BA8">
            <w:pPr>
              <w:jc w:val="both"/>
              <w:rPr>
                <w:lang w:val="pt-BR"/>
              </w:rPr>
            </w:pPr>
            <w:r w:rsidRPr="00751E81">
              <w:rPr>
                <w:lang w:val="pt-BR"/>
              </w:rPr>
              <w:t>Os mosquitos do gênero Aedes são importantes vetores de doenças. No Brasil, o Aedes aegypti é a espécie que merece maior atenção. Como exemplo de doenças provocadas por esse mosquito, podemos destacar a dengue, a chikungunya e a zika. Além de serem transmitidas pelo mesmo mosquito, a dengue, a chikungunya e a zika são doenças que apresentam alguns sintomas semelhantes, o que pode dificultar o diagnóstico. Entretanto, pequenas diferenças existem e podem ser usadas como critério para a diferenciação.</w:t>
            </w:r>
          </w:p>
          <w:p w:rsidR="004937EA" w:rsidRDefault="004937EA" w:rsidP="004A5BA8">
            <w:pPr>
              <w:jc w:val="both"/>
              <w:rPr>
                <w:lang w:val="pt-BR"/>
              </w:rPr>
            </w:pPr>
          </w:p>
          <w:p w:rsidR="004937EA" w:rsidRDefault="004937EA" w:rsidP="004A5BA8">
            <w:pPr>
              <w:jc w:val="both"/>
              <w:rPr>
                <w:lang w:val="pt-BR"/>
              </w:rPr>
            </w:pPr>
          </w:p>
          <w:p w:rsidR="004937EA" w:rsidRPr="00751E81" w:rsidRDefault="004937EA" w:rsidP="004A5BA8">
            <w:pPr>
              <w:jc w:val="both"/>
              <w:rPr>
                <w:rFonts w:ascii="Arial" w:hAnsi="Arial" w:cs="Arial"/>
                <w:spacing w:val="2"/>
                <w:shd w:val="clear" w:color="auto" w:fill="FFFFFF"/>
                <w:lang w:val="pt-BR"/>
              </w:rPr>
            </w:pPr>
          </w:p>
          <w:p w:rsidR="007E2CDA" w:rsidRPr="00751E81" w:rsidRDefault="007E2CDA" w:rsidP="004A5BA8">
            <w:pPr>
              <w:jc w:val="both"/>
              <w:rPr>
                <w:rFonts w:ascii="Arial" w:hAnsi="Arial" w:cs="Arial"/>
                <w:spacing w:val="2"/>
                <w:sz w:val="20"/>
                <w:szCs w:val="20"/>
                <w:shd w:val="clear" w:color="auto" w:fill="FFFFFF"/>
                <w:lang w:val="pt-BR"/>
              </w:rPr>
            </w:pPr>
          </w:p>
          <w:p w:rsidR="007E2CDA" w:rsidRPr="00751E81" w:rsidRDefault="007E2CDA" w:rsidP="004A5BA8">
            <w:pPr>
              <w:jc w:val="both"/>
              <w:rPr>
                <w:rFonts w:ascii="Arial" w:hAnsi="Arial" w:cs="Arial"/>
                <w:b/>
                <w:spacing w:val="2"/>
                <w:sz w:val="20"/>
                <w:szCs w:val="20"/>
                <w:shd w:val="clear" w:color="auto" w:fill="FFFFFF"/>
                <w:lang w:val="pt-BR"/>
              </w:rPr>
            </w:pPr>
            <w:r w:rsidRPr="00751E81">
              <w:rPr>
                <w:b/>
                <w:lang w:val="pt-BR"/>
              </w:rPr>
              <w:t>DIFERENÇAS ENTRE A DENGUE, CHIKUNGUNYA E ZIKA</w:t>
            </w:r>
          </w:p>
          <w:p w:rsidR="007E2CDA" w:rsidRPr="00751E81" w:rsidRDefault="00751E81" w:rsidP="00751E81">
            <w:pPr>
              <w:tabs>
                <w:tab w:val="left" w:pos="2160"/>
              </w:tabs>
              <w:jc w:val="both"/>
              <w:rPr>
                <w:rFonts w:ascii="Arial" w:hAnsi="Arial" w:cs="Arial"/>
                <w:b/>
                <w:spacing w:val="2"/>
                <w:sz w:val="20"/>
                <w:szCs w:val="20"/>
                <w:shd w:val="clear" w:color="auto" w:fill="FFFFFF"/>
                <w:lang w:val="pt-BR"/>
              </w:rPr>
            </w:pPr>
            <w:r w:rsidRPr="00751E81">
              <w:rPr>
                <w:rFonts w:ascii="Arial" w:hAnsi="Arial" w:cs="Arial"/>
                <w:b/>
                <w:spacing w:val="2"/>
                <w:sz w:val="20"/>
                <w:szCs w:val="20"/>
                <w:shd w:val="clear" w:color="auto" w:fill="FFFFFF"/>
                <w:lang w:val="pt-BR"/>
              </w:rPr>
              <w:tab/>
            </w:r>
          </w:p>
          <w:p w:rsidR="007E2CDA" w:rsidRPr="00751E81" w:rsidRDefault="007E2CDA" w:rsidP="004A5BA8">
            <w:pPr>
              <w:jc w:val="center"/>
              <w:rPr>
                <w:rFonts w:ascii="Arial" w:hAnsi="Arial" w:cs="Arial"/>
                <w:b/>
                <w:spacing w:val="2"/>
                <w:u w:val="single"/>
                <w:shd w:val="clear" w:color="auto" w:fill="FFFFFF"/>
                <w:lang w:val="pt-BR"/>
              </w:rPr>
            </w:pPr>
            <w:r w:rsidRPr="00751E81">
              <w:rPr>
                <w:rFonts w:ascii="Arial" w:hAnsi="Arial" w:cs="Arial"/>
                <w:b/>
                <w:spacing w:val="2"/>
                <w:u w:val="single"/>
                <w:shd w:val="clear" w:color="auto" w:fill="FFFFFF"/>
                <w:lang w:val="pt-BR"/>
              </w:rPr>
              <w:t>DENGUE</w:t>
            </w:r>
          </w:p>
          <w:p w:rsidR="007E2CDA" w:rsidRPr="00751E81" w:rsidRDefault="007E2CDA" w:rsidP="004A5BA8">
            <w:pPr>
              <w:pStyle w:val="paragraph"/>
              <w:spacing w:before="0" w:beforeAutospacing="0" w:after="144" w:afterAutospacing="0" w:line="396" w:lineRule="atLeast"/>
              <w:rPr>
                <w:rFonts w:ascii="Arial" w:hAnsi="Arial" w:cs="Arial"/>
                <w:u w:val="single"/>
              </w:rPr>
            </w:pPr>
            <w:r w:rsidRPr="00751E81">
              <w:t>A Dengue é, sem dúvidas, a doença mais grave quando comparada à chikungunya e à zika. Ela causa febre, dores no corpo, dores de cabeça e nos olhos, falta de ar, manchas na pele e indisposição. Em casos mais graves, a dengue pode provocar hemorragias, que, por sua vez, podem ocasionar óbito.</w:t>
            </w:r>
          </w:p>
          <w:p w:rsidR="007E2CDA" w:rsidRPr="00751E81" w:rsidRDefault="007E2CDA" w:rsidP="004A5BA8">
            <w:pPr>
              <w:pStyle w:val="paragraph"/>
              <w:spacing w:before="0" w:beforeAutospacing="0" w:after="144" w:afterAutospacing="0" w:line="396" w:lineRule="atLeast"/>
              <w:jc w:val="center"/>
              <w:rPr>
                <w:rFonts w:ascii="Arial" w:hAnsi="Arial" w:cs="Arial"/>
                <w:b/>
                <w:u w:val="single"/>
              </w:rPr>
            </w:pPr>
            <w:r w:rsidRPr="00751E81">
              <w:rPr>
                <w:rFonts w:ascii="Arial" w:hAnsi="Arial" w:cs="Arial"/>
                <w:b/>
                <w:u w:val="single"/>
              </w:rPr>
              <w:t>CHIKUNGUNYA</w:t>
            </w:r>
          </w:p>
          <w:p w:rsidR="007E2CDA" w:rsidRPr="00751E81" w:rsidRDefault="007E2CDA" w:rsidP="004A5BA8">
            <w:pPr>
              <w:pStyle w:val="NormalWeb"/>
              <w:shd w:val="clear" w:color="auto" w:fill="FFFFFF"/>
              <w:spacing w:before="0" w:beforeAutospacing="0" w:after="240" w:afterAutospacing="0" w:line="324" w:lineRule="atLeast"/>
              <w:rPr>
                <w:rFonts w:ascii="Arial" w:hAnsi="Arial" w:cs="Arial"/>
                <w:sz w:val="22"/>
                <w:szCs w:val="22"/>
                <w:u w:val="single"/>
              </w:rPr>
            </w:pPr>
            <w:r w:rsidRPr="00751E81">
              <w:t>A Chikungunya também causa febre e dores no corpo, mas as dores concentram-se principalmente nas articulações. Na dengue, as dores são predominantemente musculares. Alguns sintomas da chikungunya duram em torno de duas semanas; todavia, as dores articulares podem permanecer por vários meses. Casos de morte são muito raros, mas a doença, em virtude da persistência da dor, afeta bastante a qualidade de vida do paciente.</w:t>
            </w:r>
          </w:p>
          <w:p w:rsidR="007E2CDA" w:rsidRPr="00751E81" w:rsidRDefault="007E2CDA" w:rsidP="004A5BA8">
            <w:pPr>
              <w:pStyle w:val="NormalWeb"/>
              <w:shd w:val="clear" w:color="auto" w:fill="FFFFFF"/>
              <w:spacing w:before="0" w:beforeAutospacing="0" w:after="240" w:afterAutospacing="0" w:line="324" w:lineRule="atLeast"/>
              <w:jc w:val="center"/>
              <w:rPr>
                <w:rFonts w:ascii="Arial" w:hAnsi="Arial" w:cs="Arial"/>
                <w:b/>
                <w:sz w:val="22"/>
                <w:szCs w:val="22"/>
                <w:u w:val="single"/>
              </w:rPr>
            </w:pPr>
            <w:r w:rsidRPr="00751E81">
              <w:rPr>
                <w:rFonts w:ascii="Arial" w:hAnsi="Arial" w:cs="Arial"/>
                <w:b/>
                <w:sz w:val="22"/>
                <w:szCs w:val="22"/>
                <w:u w:val="single"/>
              </w:rPr>
              <w:t>ZIKA</w:t>
            </w:r>
          </w:p>
          <w:p w:rsidR="007E2CDA" w:rsidRPr="00751E81" w:rsidRDefault="007E2CDA" w:rsidP="004A5BA8">
            <w:pPr>
              <w:jc w:val="both"/>
              <w:rPr>
                <w:lang w:val="pt-BR"/>
              </w:rPr>
            </w:pPr>
            <w:r w:rsidRPr="00751E81">
              <w:rPr>
                <w:lang w:val="pt-BR"/>
              </w:rPr>
              <w:t xml:space="preserve">Por fim, temos a febre zika, que é a doença que causa os sintomas mais leves. Pacientes com essa enfermidade apresentam febre mais baixa que a da dengue e chikungunya, olhos avermelhados e coceira característica. Em </w:t>
            </w:r>
            <w:r w:rsidRPr="00751E81">
              <w:rPr>
                <w:lang w:val="pt-BR"/>
              </w:rPr>
              <w:lastRenderedPageBreak/>
              <w:t>virtude desses sintomas, muitas vezes a doença é confundida com alergia. Normalmente a zika não causa morte, e os sintomas não duram mais que sete dias. Vale frisar, no entanto, que a febre zika relaciona-se com uma síndrome neurológica que causa paralisia, a Síndrome de Guillain-Barré, e também com casos de microcefalia.</w:t>
            </w:r>
          </w:p>
          <w:p w:rsidR="007E2CDA" w:rsidRPr="00751E81" w:rsidRDefault="007E2CDA" w:rsidP="004A5BA8">
            <w:pPr>
              <w:jc w:val="both"/>
              <w:rPr>
                <w:lang w:val="pt-BR"/>
              </w:rPr>
            </w:pPr>
            <w:r w:rsidRPr="00751E81">
              <w:rPr>
                <w:lang w:val="pt-BR"/>
              </w:rPr>
              <w:t>O tratamento da dengue, chikungunya e zika é praticamente o mesmo, uma vez que não existem medicamentos específicos para nenhuma dessas enfermidades. Recomenda-se que o paciente, nos três casos, permaneça em repouso e beba bastante líquido. Alguns medicamentos são indicados para dor, mas não se deve fazer uso de remédios que contenham ácido acetilsalicílico, pois eles podem desencadear hemorragias. Não existem vacinas contra as doenças citadas no texto, com exceção da dengue. Assim sendo, a melhor forma de prevenir-se é pela destruição dos locais propícios à multiplicação do mosquito Aedes, garantindo sempre que não haja acúmulo de água parada.</w:t>
            </w:r>
          </w:p>
          <w:p w:rsidR="007E2CDA" w:rsidRPr="00751E81" w:rsidRDefault="007E2CDA" w:rsidP="004A5BA8">
            <w:pPr>
              <w:jc w:val="both"/>
              <w:rPr>
                <w:lang w:val="pt-BR"/>
              </w:rPr>
            </w:pPr>
            <w:r w:rsidRPr="00751E81">
              <w:rPr>
                <w:lang w:val="pt-BR"/>
              </w:rPr>
              <w:t>O município de Senhora dos Remédios já é considerado infestado pela presença do Aedes desde 2017, mas somente agora em 2019 surgiram os primeiros casos de dengue, nas comunidades rurais do Senra e Pinheiro 1, onde foram diagnosticados 03 casos até o momento.</w:t>
            </w:r>
          </w:p>
          <w:p w:rsidR="007E2CDA" w:rsidRPr="00751E81" w:rsidRDefault="007E2CDA" w:rsidP="004A5BA8">
            <w:pPr>
              <w:jc w:val="both"/>
              <w:rPr>
                <w:rFonts w:ascii="Arial" w:hAnsi="Arial" w:cs="Arial"/>
                <w:bdr w:val="none" w:sz="0" w:space="0" w:color="auto" w:frame="1"/>
                <w:lang w:val="pt-BR"/>
              </w:rPr>
            </w:pPr>
            <w:r w:rsidRPr="00751E81">
              <w:rPr>
                <w:lang w:val="pt-BR"/>
              </w:rPr>
              <w:t>Com o objetivo de impedir o avanço da doença, a Secretaria de Saúde intensificou as ações de combate aos focos naquelas comunidades, realizando mutirões de limpeza</w:t>
            </w:r>
            <w:r w:rsidR="009D6444" w:rsidRPr="00751E81">
              <w:rPr>
                <w:lang w:val="pt-BR"/>
              </w:rPr>
              <w:t xml:space="preserve"> pelos Agentes Comunitários de Saúde e Agentes de Endemias,</w:t>
            </w:r>
            <w:r w:rsidRPr="00751E81">
              <w:rPr>
                <w:lang w:val="pt-BR"/>
              </w:rPr>
              <w:t xml:space="preserve"> orientações à população através de palestras e aplicação de UBV costal em todo</w:t>
            </w:r>
            <w:r w:rsidR="002E4232" w:rsidRPr="00751E81">
              <w:rPr>
                <w:lang w:val="pt-BR"/>
              </w:rPr>
              <w:t>s</w:t>
            </w:r>
            <w:r w:rsidRPr="00751E81">
              <w:rPr>
                <w:lang w:val="pt-BR"/>
              </w:rPr>
              <w:t xml:space="preserve"> os imóveis das comunidades.</w:t>
            </w:r>
          </w:p>
          <w:p w:rsidR="007E2CDA" w:rsidRPr="00751E81" w:rsidRDefault="007E2CDA" w:rsidP="004A5BA8">
            <w:pPr>
              <w:shd w:val="clear" w:color="auto" w:fill="FFFFFF"/>
              <w:rPr>
                <w:rFonts w:ascii="Arial" w:hAnsi="Arial" w:cs="Arial"/>
                <w:bdr w:val="none" w:sz="0" w:space="0" w:color="auto" w:frame="1"/>
                <w:lang w:val="pt-BR"/>
              </w:rPr>
            </w:pPr>
          </w:p>
          <w:p w:rsidR="007E2CDA" w:rsidRPr="00751E81" w:rsidRDefault="00A72364" w:rsidP="004A5BA8">
            <w:pPr>
              <w:jc w:val="both"/>
              <w:rPr>
                <w:b/>
                <w:lang w:val="pt-BR"/>
              </w:rPr>
            </w:pPr>
            <w:r w:rsidRPr="00751E81">
              <w:rPr>
                <w:b/>
                <w:noProof/>
                <w:lang w:val="pt-BR" w:eastAsia="pt-BR"/>
              </w:rPr>
              <w:drawing>
                <wp:inline distT="0" distB="0" distL="0" distR="0">
                  <wp:extent cx="2181225" cy="1226939"/>
                  <wp:effectExtent l="19050" t="0" r="0" b="0"/>
                  <wp:docPr id="32" name="Imagem 9" descr="C:\Users\Cliente\Documents\Ações de Dengue e visa\Mutirão Dengue Senra\20190426_112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liente\Documents\Ações de Dengue e visa\Mutirão Dengue Senra\20190426_112436.jpg"/>
                          <pic:cNvPicPr>
                            <a:picLocks noChangeAspect="1" noChangeArrowheads="1"/>
                          </pic:cNvPicPr>
                        </pic:nvPicPr>
                        <pic:blipFill>
                          <a:blip r:embed="rId14" cstate="print"/>
                          <a:srcRect/>
                          <a:stretch>
                            <a:fillRect/>
                          </a:stretch>
                        </pic:blipFill>
                        <pic:spPr bwMode="auto">
                          <a:xfrm>
                            <a:off x="0" y="0"/>
                            <a:ext cx="2183265" cy="1228087"/>
                          </a:xfrm>
                          <a:prstGeom prst="rect">
                            <a:avLst/>
                          </a:prstGeom>
                          <a:noFill/>
                          <a:ln w="9525">
                            <a:noFill/>
                            <a:miter lim="800000"/>
                            <a:headEnd/>
                            <a:tailEnd/>
                          </a:ln>
                        </pic:spPr>
                      </pic:pic>
                    </a:graphicData>
                  </a:graphic>
                </wp:inline>
              </w:drawing>
            </w:r>
            <w:r w:rsidRPr="00751E81">
              <w:rPr>
                <w:b/>
                <w:noProof/>
                <w:lang w:val="pt-BR" w:eastAsia="pt-BR"/>
              </w:rPr>
              <w:drawing>
                <wp:inline distT="0" distB="0" distL="0" distR="0">
                  <wp:extent cx="2390775" cy="1345969"/>
                  <wp:effectExtent l="19050" t="0" r="9525" b="0"/>
                  <wp:docPr id="33" name="Imagem 10" descr="C:\Users\Cliente\Documents\Ações de Dengue e visa\Mutirão Dengue Senra\IMG-20190426-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liente\Documents\Ações de Dengue e visa\Mutirão Dengue Senra\IMG-20190426-WA0025.jpg"/>
                          <pic:cNvPicPr>
                            <a:picLocks noChangeAspect="1" noChangeArrowheads="1"/>
                          </pic:cNvPicPr>
                        </pic:nvPicPr>
                        <pic:blipFill>
                          <a:blip r:embed="rId15" cstate="print"/>
                          <a:srcRect/>
                          <a:stretch>
                            <a:fillRect/>
                          </a:stretch>
                        </pic:blipFill>
                        <pic:spPr bwMode="auto">
                          <a:xfrm>
                            <a:off x="0" y="0"/>
                            <a:ext cx="2390775" cy="1345969"/>
                          </a:xfrm>
                          <a:prstGeom prst="rect">
                            <a:avLst/>
                          </a:prstGeom>
                          <a:noFill/>
                          <a:ln w="9525">
                            <a:noFill/>
                            <a:miter lim="800000"/>
                            <a:headEnd/>
                            <a:tailEnd/>
                          </a:ln>
                        </pic:spPr>
                      </pic:pic>
                    </a:graphicData>
                  </a:graphic>
                </wp:inline>
              </w:drawing>
            </w:r>
            <w:r w:rsidRPr="00751E81">
              <w:rPr>
                <w:b/>
                <w:noProof/>
                <w:lang w:val="pt-BR" w:eastAsia="pt-BR"/>
              </w:rPr>
              <w:drawing>
                <wp:inline distT="0" distB="0" distL="0" distR="0">
                  <wp:extent cx="2181225" cy="1360884"/>
                  <wp:effectExtent l="19050" t="0" r="9525" b="0"/>
                  <wp:docPr id="36" name="Imagem 11" descr="C:\Users\Cliente\Documents\Ações de Dengue e visa\Mutirão Dengue Senra\IMG-20190429-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iente\Documents\Ações de Dengue e visa\Mutirão Dengue Senra\IMG-20190429-WA0013.jpg"/>
                          <pic:cNvPicPr>
                            <a:picLocks noChangeAspect="1" noChangeArrowheads="1"/>
                          </pic:cNvPicPr>
                        </pic:nvPicPr>
                        <pic:blipFill>
                          <a:blip r:embed="rId16" cstate="print"/>
                          <a:srcRect/>
                          <a:stretch>
                            <a:fillRect/>
                          </a:stretch>
                        </pic:blipFill>
                        <pic:spPr bwMode="auto">
                          <a:xfrm>
                            <a:off x="0" y="0"/>
                            <a:ext cx="2184570" cy="1362971"/>
                          </a:xfrm>
                          <a:prstGeom prst="rect">
                            <a:avLst/>
                          </a:prstGeom>
                          <a:noFill/>
                          <a:ln w="9525">
                            <a:noFill/>
                            <a:miter lim="800000"/>
                            <a:headEnd/>
                            <a:tailEnd/>
                          </a:ln>
                        </pic:spPr>
                      </pic:pic>
                    </a:graphicData>
                  </a:graphic>
                </wp:inline>
              </w:drawing>
            </w:r>
            <w:r w:rsidRPr="00751E81">
              <w:rPr>
                <w:b/>
                <w:noProof/>
                <w:lang w:val="pt-BR" w:eastAsia="pt-BR"/>
              </w:rPr>
              <w:drawing>
                <wp:inline distT="0" distB="0" distL="0" distR="0">
                  <wp:extent cx="2381250" cy="1359693"/>
                  <wp:effectExtent l="19050" t="0" r="0" b="0"/>
                  <wp:docPr id="37" name="Imagem 12" descr="C:\Users\Cliente\Documents\Ações de Dengue e visa\Mutirão Dengue Senra\IMG-20190429-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liente\Documents\Ações de Dengue e visa\Mutirão Dengue Senra\IMG-20190429-WA0020.jpg"/>
                          <pic:cNvPicPr>
                            <a:picLocks noChangeAspect="1" noChangeArrowheads="1"/>
                          </pic:cNvPicPr>
                        </pic:nvPicPr>
                        <pic:blipFill>
                          <a:blip r:embed="rId17" cstate="print"/>
                          <a:srcRect/>
                          <a:stretch>
                            <a:fillRect/>
                          </a:stretch>
                        </pic:blipFill>
                        <pic:spPr bwMode="auto">
                          <a:xfrm>
                            <a:off x="0" y="0"/>
                            <a:ext cx="2385517" cy="1362129"/>
                          </a:xfrm>
                          <a:prstGeom prst="rect">
                            <a:avLst/>
                          </a:prstGeom>
                          <a:noFill/>
                          <a:ln w="9525">
                            <a:noFill/>
                            <a:miter lim="800000"/>
                            <a:headEnd/>
                            <a:tailEnd/>
                          </a:ln>
                        </pic:spPr>
                      </pic:pic>
                    </a:graphicData>
                  </a:graphic>
                </wp:inline>
              </w:drawing>
            </w:r>
          </w:p>
          <w:p w:rsidR="002E4232" w:rsidRDefault="002E4232" w:rsidP="009D6444">
            <w:pPr>
              <w:jc w:val="both"/>
              <w:rPr>
                <w:b/>
                <w:lang w:val="pt-BR"/>
              </w:rPr>
            </w:pPr>
            <w:r w:rsidRPr="00751E81">
              <w:rPr>
                <w:b/>
                <w:lang w:val="pt-BR"/>
              </w:rPr>
              <w:t xml:space="preserve">DENUNCIE FOCOS DO MOSQUITO AEDES AEGYPTI: Quando o foco do mosquito Aedes Aegypti é detectado e não pode ser eliminado pelos moradores ou pela população, como em terrenos baldios ou lixos acumulados na rua, a </w:t>
            </w:r>
            <w:r w:rsidR="009D6444" w:rsidRPr="00751E81">
              <w:rPr>
                <w:b/>
                <w:lang w:val="pt-BR"/>
              </w:rPr>
              <w:t>Vigilância Municipal</w:t>
            </w:r>
            <w:r w:rsidRPr="00751E81">
              <w:rPr>
                <w:b/>
                <w:lang w:val="pt-BR"/>
              </w:rPr>
              <w:t xml:space="preserve"> deve ser acionada para remover os possíveis focos/criadouros. Faça a sua parte!</w:t>
            </w:r>
          </w:p>
          <w:p w:rsidR="00AB575F" w:rsidRDefault="00AB575F" w:rsidP="009D6444">
            <w:pPr>
              <w:jc w:val="both"/>
              <w:rPr>
                <w:b/>
                <w:lang w:val="pt-BR"/>
              </w:rPr>
            </w:pPr>
          </w:p>
          <w:p w:rsidR="00026345" w:rsidRDefault="00026345" w:rsidP="00026345">
            <w:pPr>
              <w:jc w:val="center"/>
              <w:rPr>
                <w:b/>
                <w:sz w:val="40"/>
                <w:szCs w:val="40"/>
                <w:lang w:val="pt-BR"/>
              </w:rPr>
            </w:pPr>
          </w:p>
          <w:p w:rsidR="0072445D" w:rsidRDefault="0072445D" w:rsidP="00026345">
            <w:pPr>
              <w:jc w:val="center"/>
              <w:rPr>
                <w:b/>
                <w:sz w:val="40"/>
                <w:szCs w:val="40"/>
                <w:lang w:val="pt-BR"/>
              </w:rPr>
            </w:pPr>
          </w:p>
          <w:p w:rsidR="0072445D" w:rsidRDefault="0072445D" w:rsidP="00026345">
            <w:pPr>
              <w:jc w:val="center"/>
              <w:rPr>
                <w:b/>
                <w:sz w:val="40"/>
                <w:szCs w:val="40"/>
                <w:lang w:val="pt-BR"/>
              </w:rPr>
            </w:pPr>
          </w:p>
          <w:p w:rsidR="0072445D" w:rsidRPr="00751E81" w:rsidRDefault="0072445D" w:rsidP="00026345">
            <w:pPr>
              <w:jc w:val="center"/>
              <w:rPr>
                <w:b/>
                <w:sz w:val="40"/>
                <w:szCs w:val="40"/>
                <w:lang w:val="pt-BR"/>
              </w:rPr>
            </w:pPr>
          </w:p>
          <w:p w:rsidR="00026345" w:rsidRPr="00751E81" w:rsidRDefault="00026345" w:rsidP="00026345">
            <w:pPr>
              <w:jc w:val="center"/>
              <w:rPr>
                <w:b/>
                <w:sz w:val="40"/>
                <w:szCs w:val="40"/>
                <w:lang w:val="pt-BR"/>
              </w:rPr>
            </w:pPr>
            <w:r w:rsidRPr="00751E81">
              <w:rPr>
                <w:b/>
                <w:sz w:val="40"/>
                <w:szCs w:val="40"/>
                <w:lang w:val="pt-BR"/>
              </w:rPr>
              <w:t>CAMPANHA DE VACINAÇÃO CONTRA RAIVA ANIMAL</w:t>
            </w:r>
          </w:p>
          <w:p w:rsidR="00026345" w:rsidRPr="00751E81" w:rsidRDefault="00026345" w:rsidP="00026345">
            <w:pPr>
              <w:jc w:val="center"/>
              <w:rPr>
                <w:b/>
                <w:sz w:val="40"/>
                <w:szCs w:val="40"/>
                <w:lang w:val="pt-BR"/>
              </w:rPr>
            </w:pPr>
          </w:p>
          <w:p w:rsidR="00026345" w:rsidRPr="00751E81" w:rsidRDefault="00026345" w:rsidP="00026345">
            <w:pPr>
              <w:jc w:val="center"/>
              <w:rPr>
                <w:b/>
                <w:sz w:val="40"/>
                <w:szCs w:val="40"/>
                <w:lang w:val="pt-BR"/>
              </w:rPr>
            </w:pPr>
            <w:r w:rsidRPr="00751E81">
              <w:rPr>
                <w:b/>
                <w:noProof/>
                <w:lang w:val="pt-BR" w:eastAsia="pt-BR"/>
              </w:rPr>
              <w:drawing>
                <wp:inline distT="0" distB="0" distL="0" distR="0">
                  <wp:extent cx="3724275" cy="1484179"/>
                  <wp:effectExtent l="19050" t="0" r="0" b="0"/>
                  <wp:docPr id="1" name="Imagem 1" descr="Prefeitura inicia campanha antirrÃ¡bica neste sÃ¡bado e espera vacinar 30 mil cÃ£es e g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inicia campanha antirrÃ¡bica neste sÃ¡bado e espera vacinar 30 mil cÃ£es e gatos"/>
                          <pic:cNvPicPr>
                            <a:picLocks noChangeAspect="1" noChangeArrowheads="1"/>
                          </pic:cNvPicPr>
                        </pic:nvPicPr>
                        <pic:blipFill>
                          <a:blip r:embed="rId18"/>
                          <a:srcRect/>
                          <a:stretch>
                            <a:fillRect/>
                          </a:stretch>
                        </pic:blipFill>
                        <pic:spPr bwMode="auto">
                          <a:xfrm>
                            <a:off x="0" y="0"/>
                            <a:ext cx="3729672" cy="1486330"/>
                          </a:xfrm>
                          <a:prstGeom prst="rect">
                            <a:avLst/>
                          </a:prstGeom>
                          <a:noFill/>
                          <a:ln w="9525">
                            <a:noFill/>
                            <a:miter lim="800000"/>
                            <a:headEnd/>
                            <a:tailEnd/>
                          </a:ln>
                        </pic:spPr>
                      </pic:pic>
                    </a:graphicData>
                  </a:graphic>
                </wp:inline>
              </w:drawing>
            </w:r>
          </w:p>
          <w:p w:rsidR="004937EA" w:rsidRDefault="004937EA" w:rsidP="00026345">
            <w:pPr>
              <w:rPr>
                <w:lang w:val="pt-BR"/>
              </w:rPr>
            </w:pPr>
          </w:p>
          <w:p w:rsidR="00E33C08" w:rsidRPr="00751E81" w:rsidRDefault="00026345" w:rsidP="00026345">
            <w:pPr>
              <w:rPr>
                <w:lang w:val="pt-BR"/>
              </w:rPr>
            </w:pPr>
            <w:r w:rsidRPr="00751E81">
              <w:rPr>
                <w:lang w:val="pt-BR"/>
              </w:rPr>
              <w:t xml:space="preserve">Foi realizada no período de 20 de maio à 06 de junho, a Campanha de vacinação contra Raiva para cães e gatos em todo o município. </w:t>
            </w:r>
          </w:p>
          <w:p w:rsidR="00751E81" w:rsidRPr="00751E81" w:rsidRDefault="00751E81" w:rsidP="00026345">
            <w:pPr>
              <w:rPr>
                <w:lang w:val="pt-BR"/>
              </w:rPr>
            </w:pPr>
          </w:p>
          <w:p w:rsidR="00E33C08" w:rsidRPr="00751E81" w:rsidRDefault="00026345" w:rsidP="00026345">
            <w:pPr>
              <w:rPr>
                <w:lang w:val="pt-BR"/>
              </w:rPr>
            </w:pPr>
            <w:r w:rsidRPr="00751E81">
              <w:rPr>
                <w:lang w:val="pt-BR"/>
              </w:rPr>
              <w:t>Foram vacinados na zona rural</w:t>
            </w:r>
            <w:r w:rsidR="00E33C08" w:rsidRPr="00751E81">
              <w:rPr>
                <w:lang w:val="pt-BR"/>
              </w:rPr>
              <w:t xml:space="preserve">, 2.313 cães e 443 gatos. Na zona urbana foram vacinados 713 cães e 183 gatos, somatizando um total de 3.652 animais vacinados. </w:t>
            </w:r>
          </w:p>
          <w:p w:rsidR="00751E81" w:rsidRPr="00751E81" w:rsidRDefault="00751E81" w:rsidP="00026345">
            <w:pPr>
              <w:rPr>
                <w:lang w:val="pt-BR"/>
              </w:rPr>
            </w:pPr>
          </w:p>
          <w:p w:rsidR="00E33C08" w:rsidRDefault="00E33C08" w:rsidP="00E33C08">
            <w:pPr>
              <w:rPr>
                <w:lang w:val="pt-BR"/>
              </w:rPr>
            </w:pPr>
            <w:r w:rsidRPr="00751E81">
              <w:rPr>
                <w:lang w:val="pt-BR"/>
              </w:rPr>
              <w:t>Mais uma vez, o município atingiu a meta preconizada para o número d</w:t>
            </w:r>
            <w:r w:rsidR="00751E81" w:rsidRPr="00751E81">
              <w:rPr>
                <w:lang w:val="pt-BR"/>
              </w:rPr>
              <w:t>e cães vacinados que é de 2870, vacinand</w:t>
            </w:r>
            <w:r w:rsidRPr="00751E81">
              <w:rPr>
                <w:lang w:val="pt-BR"/>
              </w:rPr>
              <w:t>o 2.877 cães.</w:t>
            </w:r>
          </w:p>
          <w:p w:rsidR="00522687" w:rsidRDefault="00522687" w:rsidP="00E33C08">
            <w:pPr>
              <w:rPr>
                <w:lang w:val="pt-BR"/>
              </w:rPr>
            </w:pPr>
          </w:p>
          <w:p w:rsidR="00522687" w:rsidRPr="0072445D" w:rsidRDefault="00522687" w:rsidP="00E33C08">
            <w:pPr>
              <w:rPr>
                <w:b/>
                <w:lang w:val="pt-BR"/>
              </w:rPr>
            </w:pPr>
            <w:r w:rsidRPr="0072445D">
              <w:rPr>
                <w:b/>
                <w:lang w:val="pt-BR"/>
              </w:rPr>
              <w:t>Referências Bibliográficas:</w:t>
            </w:r>
          </w:p>
          <w:p w:rsidR="004937EA" w:rsidRPr="00751E81" w:rsidRDefault="004937EA" w:rsidP="00E33C08">
            <w:pPr>
              <w:rPr>
                <w:lang w:val="pt-BR"/>
              </w:rPr>
            </w:pPr>
          </w:p>
          <w:p w:rsidR="0072445D" w:rsidRPr="008A699C" w:rsidRDefault="00477847" w:rsidP="00026345">
            <w:pPr>
              <w:pStyle w:val="PargrafodaLista"/>
              <w:numPr>
                <w:ilvl w:val="0"/>
                <w:numId w:val="7"/>
              </w:numPr>
              <w:rPr>
                <w:lang w:val="pt-BR"/>
              </w:rPr>
            </w:pPr>
            <w:hyperlink r:id="rId19" w:history="1">
              <w:r w:rsidR="004937EA" w:rsidRPr="008A699C">
                <w:rPr>
                  <w:rStyle w:val="Hyperlink"/>
                  <w:color w:val="auto"/>
                  <w:lang w:val="pt-BR"/>
                </w:rPr>
                <w:t>https://mundoeducacao.bol.uol.com.br/doencas/diferencas-entre-dengue-chikungunya-zika.htm</w:t>
              </w:r>
            </w:hyperlink>
          </w:p>
          <w:p w:rsidR="0072445D" w:rsidRPr="008A699C" w:rsidRDefault="004937EA" w:rsidP="0072445D">
            <w:pPr>
              <w:pStyle w:val="PargrafodaLista"/>
              <w:numPr>
                <w:ilvl w:val="0"/>
                <w:numId w:val="7"/>
              </w:numPr>
              <w:rPr>
                <w:b/>
                <w:lang w:val="pt-BR"/>
              </w:rPr>
            </w:pPr>
            <w:r>
              <w:t>Sinan net local</w:t>
            </w:r>
          </w:p>
          <w:p w:rsidR="0072445D" w:rsidRPr="008A699C" w:rsidRDefault="0072445D" w:rsidP="0072445D">
            <w:pPr>
              <w:pStyle w:val="Default"/>
              <w:numPr>
                <w:ilvl w:val="0"/>
                <w:numId w:val="7"/>
              </w:numPr>
              <w:spacing w:after="66"/>
              <w:rPr>
                <w:bCs/>
                <w:sz w:val="23"/>
                <w:szCs w:val="23"/>
              </w:rPr>
            </w:pPr>
            <w:r w:rsidRPr="008A699C">
              <w:rPr>
                <w:sz w:val="23"/>
                <w:szCs w:val="23"/>
                <w:lang w:val="en-US"/>
              </w:rPr>
              <w:t xml:space="preserve">About Hand, Foot, and Mouth Disease (HFMD). </w:t>
            </w:r>
            <w:r w:rsidRPr="008A699C">
              <w:rPr>
                <w:sz w:val="23"/>
                <w:szCs w:val="23"/>
              </w:rPr>
              <w:t xml:space="preserve">Disponível em: https://www.cdc.gov/hand-foot-mouth/about/index.html </w:t>
            </w:r>
          </w:p>
          <w:p w:rsidR="0072445D" w:rsidRPr="0072445D" w:rsidRDefault="0072445D" w:rsidP="0072445D">
            <w:pPr>
              <w:pStyle w:val="Default"/>
              <w:numPr>
                <w:ilvl w:val="0"/>
                <w:numId w:val="7"/>
              </w:numPr>
              <w:spacing w:after="66"/>
              <w:rPr>
                <w:sz w:val="23"/>
                <w:szCs w:val="23"/>
                <w:lang w:val="en-US"/>
              </w:rPr>
            </w:pPr>
            <w:r w:rsidRPr="008A699C">
              <w:rPr>
                <w:bCs/>
                <w:sz w:val="23"/>
                <w:szCs w:val="23"/>
                <w:lang w:val="en-US"/>
              </w:rPr>
              <w:t xml:space="preserve"> </w:t>
            </w:r>
            <w:r w:rsidRPr="00751E81">
              <w:rPr>
                <w:sz w:val="23"/>
                <w:szCs w:val="23"/>
                <w:lang w:val="en-US"/>
              </w:rPr>
              <w:t xml:space="preserve">A Guide to Clinical Management and Public Health Response for Hand, Foot and Mouth disease (HFMD). </w:t>
            </w:r>
            <w:r w:rsidRPr="0072445D">
              <w:rPr>
                <w:sz w:val="23"/>
                <w:szCs w:val="23"/>
                <w:lang w:val="en-US"/>
              </w:rPr>
              <w:t xml:space="preserve">Disponível em: </w:t>
            </w:r>
            <w:r w:rsidRPr="0072445D">
              <w:rPr>
                <w:bCs/>
                <w:sz w:val="23"/>
                <w:szCs w:val="23"/>
                <w:lang w:val="en-US"/>
              </w:rPr>
              <w:t>http://www.</w:t>
            </w:r>
            <w:r w:rsidRPr="00751E81">
              <w:rPr>
                <w:bCs/>
                <w:sz w:val="23"/>
                <w:szCs w:val="23"/>
              </w:rPr>
              <w:t xml:space="preserve">wpro.who.int/publications/docs/Guidancefortheclinicalmanage mentofHFMD.pdf </w:t>
            </w:r>
          </w:p>
          <w:p w:rsidR="0072445D" w:rsidRPr="0072445D" w:rsidRDefault="0072445D" w:rsidP="0072445D">
            <w:pPr>
              <w:pStyle w:val="Default"/>
              <w:numPr>
                <w:ilvl w:val="0"/>
                <w:numId w:val="7"/>
              </w:numPr>
              <w:rPr>
                <w:b/>
              </w:rPr>
            </w:pPr>
            <w:r w:rsidRPr="00751E81">
              <w:rPr>
                <w:sz w:val="23"/>
                <w:szCs w:val="23"/>
              </w:rPr>
              <w:t xml:space="preserve">Ficha de notificação SINAN. Disponível em http://vigilancia.saude.mg.gov.br/index.php/sistemas-de-informacao/agravos-de-notificacao-sinan/ </w:t>
            </w:r>
          </w:p>
        </w:tc>
      </w:tr>
      <w:tr w:rsidR="007E2CDA" w:rsidRPr="004937EA" w:rsidTr="007E2CDA">
        <w:tc>
          <w:tcPr>
            <w:tcW w:w="3126" w:type="dxa"/>
            <w:tcBorders>
              <w:top w:val="nil"/>
              <w:left w:val="single" w:sz="4" w:space="0" w:color="FFFFFF"/>
              <w:bottom w:val="nil"/>
              <w:right w:val="nil"/>
            </w:tcBorders>
            <w:shd w:val="clear" w:color="auto" w:fill="9BBB59" w:themeFill="accent3"/>
          </w:tcPr>
          <w:p w:rsidR="007E2CDA" w:rsidRPr="003B6F69" w:rsidRDefault="007E2CDA" w:rsidP="00CB1FDF">
            <w:pPr>
              <w:pStyle w:val="Links"/>
              <w:rPr>
                <w:rStyle w:val="Hyperlink"/>
                <w:color w:val="000000" w:themeColor="text1"/>
                <w:lang w:val="pt-BR"/>
              </w:rPr>
            </w:pPr>
          </w:p>
          <w:p w:rsidR="007E2CDA" w:rsidRPr="00513CCA" w:rsidRDefault="007E2CDA" w:rsidP="00CB1FDF">
            <w:pPr>
              <w:pStyle w:val="Links"/>
              <w:rPr>
                <w:rStyle w:val="Hyperlink"/>
                <w:lang w:val="pt-BR"/>
              </w:rPr>
            </w:pPr>
          </w:p>
        </w:tc>
        <w:tc>
          <w:tcPr>
            <w:tcW w:w="7934" w:type="dxa"/>
            <w:tcBorders>
              <w:top w:val="nil"/>
              <w:left w:val="single" w:sz="4" w:space="0" w:color="FFFFFF"/>
              <w:bottom w:val="nil"/>
              <w:right w:val="single" w:sz="4" w:space="0" w:color="FFFFFF"/>
            </w:tcBorders>
            <w:shd w:val="clear" w:color="auto" w:fill="FFFFFF"/>
            <w:tcMar>
              <w:top w:w="504" w:type="dxa"/>
              <w:left w:w="288" w:type="dxa"/>
              <w:bottom w:w="288" w:type="dxa"/>
              <w:right w:w="288" w:type="dxa"/>
            </w:tcMar>
          </w:tcPr>
          <w:p w:rsidR="007E2CDA" w:rsidRPr="004F56C3" w:rsidRDefault="007E2CDA" w:rsidP="000A2739">
            <w:pPr>
              <w:jc w:val="both"/>
              <w:rPr>
                <w:rFonts w:ascii="Arial" w:hAnsi="Arial" w:cs="Arial"/>
                <w:b/>
                <w:i/>
                <w:lang w:val="pt-BR"/>
              </w:rPr>
            </w:pPr>
          </w:p>
          <w:p w:rsidR="007E2CDA" w:rsidRPr="004F56C3" w:rsidRDefault="007E2CDA" w:rsidP="001B3C21">
            <w:pPr>
              <w:jc w:val="both"/>
              <w:rPr>
                <w:rFonts w:ascii="Arial" w:hAnsi="Arial" w:cs="Arial"/>
                <w:b/>
                <w:i/>
                <w:lang w:val="pt-BR" w:eastAsia="pt-BR"/>
              </w:rPr>
            </w:pPr>
          </w:p>
          <w:p w:rsidR="007E2CDA" w:rsidRPr="004F56C3" w:rsidRDefault="007E2CDA" w:rsidP="002E4232">
            <w:pPr>
              <w:jc w:val="both"/>
              <w:rPr>
                <w:lang w:val="pt-BR"/>
              </w:rPr>
            </w:pPr>
          </w:p>
        </w:tc>
      </w:tr>
      <w:tr w:rsidR="007E2CDA" w:rsidRPr="004937EA" w:rsidTr="007E2CDA">
        <w:tc>
          <w:tcPr>
            <w:tcW w:w="3126" w:type="dxa"/>
            <w:tcBorders>
              <w:top w:val="nil"/>
              <w:left w:val="single" w:sz="4" w:space="0" w:color="FFFFFF"/>
              <w:bottom w:val="nil"/>
              <w:right w:val="nil"/>
            </w:tcBorders>
            <w:shd w:val="clear" w:color="auto" w:fill="9BBB59" w:themeFill="accent3"/>
          </w:tcPr>
          <w:p w:rsidR="007E2CDA" w:rsidRPr="003B6F69" w:rsidRDefault="007E2CDA" w:rsidP="00CB1FDF">
            <w:pPr>
              <w:pStyle w:val="Links"/>
              <w:rPr>
                <w:rStyle w:val="Hyperlink"/>
                <w:color w:val="000000" w:themeColor="text1"/>
                <w:lang w:val="pt-BR"/>
              </w:rPr>
            </w:pPr>
          </w:p>
        </w:tc>
        <w:tc>
          <w:tcPr>
            <w:tcW w:w="7934" w:type="dxa"/>
            <w:tcBorders>
              <w:top w:val="nil"/>
              <w:left w:val="single" w:sz="4" w:space="0" w:color="FFFFFF"/>
              <w:bottom w:val="nil"/>
              <w:right w:val="single" w:sz="4" w:space="0" w:color="FFFFFF"/>
            </w:tcBorders>
            <w:shd w:val="clear" w:color="auto" w:fill="FFFFFF"/>
            <w:tcMar>
              <w:top w:w="504" w:type="dxa"/>
              <w:left w:w="288" w:type="dxa"/>
              <w:bottom w:w="288" w:type="dxa"/>
              <w:right w:w="288" w:type="dxa"/>
            </w:tcMar>
          </w:tcPr>
          <w:p w:rsidR="007E2CDA" w:rsidRPr="004F56C3" w:rsidRDefault="007E2CDA" w:rsidP="00AD0067">
            <w:pPr>
              <w:jc w:val="both"/>
              <w:rPr>
                <w:rFonts w:ascii="Arial" w:hAnsi="Arial" w:cs="Arial"/>
                <w:b/>
                <w:i/>
                <w:lang w:val="pt-BR"/>
              </w:rPr>
            </w:pPr>
          </w:p>
        </w:tc>
      </w:tr>
    </w:tbl>
    <w:p w:rsidR="006A21EA" w:rsidRDefault="006A21EA" w:rsidP="008530CB">
      <w:pPr>
        <w:rPr>
          <w:lang w:val="pt-BR"/>
        </w:rPr>
      </w:pPr>
    </w:p>
    <w:sectPr w:rsidR="006A21EA" w:rsidSect="00AB575F">
      <w:type w:val="evenPage"/>
      <w:pgSz w:w="11907" w:h="16839"/>
      <w:pgMar w:top="864" w:right="864" w:bottom="864" w:left="86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D72"/>
    <w:multiLevelType w:val="hybridMultilevel"/>
    <w:tmpl w:val="623641FC"/>
    <w:lvl w:ilvl="0" w:tplc="7FEA90DA">
      <w:start w:val="1"/>
      <w:numFmt w:val="bullet"/>
      <w:pStyle w:val="Entradadondiceanaltico"/>
      <w:lvlText w:val=""/>
      <w:lvlJc w:val="left"/>
      <w:pPr>
        <w:tabs>
          <w:tab w:val="num" w:pos="216"/>
        </w:tabs>
        <w:ind w:left="216" w:hanging="21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C4549E"/>
    <w:multiLevelType w:val="hybridMultilevel"/>
    <w:tmpl w:val="CCD48788"/>
    <w:lvl w:ilvl="0" w:tplc="D5BAE8E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6C6440"/>
    <w:multiLevelType w:val="multilevel"/>
    <w:tmpl w:val="5D04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B69F2"/>
    <w:multiLevelType w:val="multilevel"/>
    <w:tmpl w:val="5E86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C23CB1"/>
    <w:multiLevelType w:val="hybridMultilevel"/>
    <w:tmpl w:val="457632BA"/>
    <w:lvl w:ilvl="0" w:tplc="EAF4376A">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F293AB3"/>
    <w:multiLevelType w:val="multilevel"/>
    <w:tmpl w:val="2CC6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noPunctuationKerning/>
  <w:characterSpacingControl w:val="doNotCompress"/>
  <w:compat/>
  <w:rsids>
    <w:rsidRoot w:val="00351B47"/>
    <w:rsid w:val="00026345"/>
    <w:rsid w:val="00037997"/>
    <w:rsid w:val="00045DAD"/>
    <w:rsid w:val="0006519D"/>
    <w:rsid w:val="0008278B"/>
    <w:rsid w:val="000A0B97"/>
    <w:rsid w:val="000A2739"/>
    <w:rsid w:val="000B0F67"/>
    <w:rsid w:val="000B2F38"/>
    <w:rsid w:val="000B356C"/>
    <w:rsid w:val="000E4634"/>
    <w:rsid w:val="000E6C4A"/>
    <w:rsid w:val="000F707F"/>
    <w:rsid w:val="0013744D"/>
    <w:rsid w:val="001476CC"/>
    <w:rsid w:val="00163C4F"/>
    <w:rsid w:val="00170880"/>
    <w:rsid w:val="001830D2"/>
    <w:rsid w:val="00191361"/>
    <w:rsid w:val="001B2CA8"/>
    <w:rsid w:val="001B3C21"/>
    <w:rsid w:val="001D1CDE"/>
    <w:rsid w:val="0021615A"/>
    <w:rsid w:val="00224230"/>
    <w:rsid w:val="00234596"/>
    <w:rsid w:val="00244CB1"/>
    <w:rsid w:val="00256EA0"/>
    <w:rsid w:val="002B6C91"/>
    <w:rsid w:val="002E0AA6"/>
    <w:rsid w:val="002E3313"/>
    <w:rsid w:val="002E4232"/>
    <w:rsid w:val="002F6603"/>
    <w:rsid w:val="0030558E"/>
    <w:rsid w:val="00351B47"/>
    <w:rsid w:val="00373DD1"/>
    <w:rsid w:val="00380335"/>
    <w:rsid w:val="003815CF"/>
    <w:rsid w:val="00395AA1"/>
    <w:rsid w:val="003A08AC"/>
    <w:rsid w:val="003A0E5A"/>
    <w:rsid w:val="003A5BCB"/>
    <w:rsid w:val="003B4A73"/>
    <w:rsid w:val="003B6F69"/>
    <w:rsid w:val="003D302C"/>
    <w:rsid w:val="003E7CDD"/>
    <w:rsid w:val="003F168D"/>
    <w:rsid w:val="003F25DD"/>
    <w:rsid w:val="00424509"/>
    <w:rsid w:val="00425934"/>
    <w:rsid w:val="00432883"/>
    <w:rsid w:val="00442AE0"/>
    <w:rsid w:val="00460650"/>
    <w:rsid w:val="00477847"/>
    <w:rsid w:val="004937EA"/>
    <w:rsid w:val="004A2B98"/>
    <w:rsid w:val="004B5743"/>
    <w:rsid w:val="004C1F28"/>
    <w:rsid w:val="004F56C3"/>
    <w:rsid w:val="00513CCA"/>
    <w:rsid w:val="00522687"/>
    <w:rsid w:val="00542622"/>
    <w:rsid w:val="00560F35"/>
    <w:rsid w:val="00580876"/>
    <w:rsid w:val="005A4886"/>
    <w:rsid w:val="005A7B57"/>
    <w:rsid w:val="005E1377"/>
    <w:rsid w:val="005E5531"/>
    <w:rsid w:val="005E596D"/>
    <w:rsid w:val="00621DD4"/>
    <w:rsid w:val="00622801"/>
    <w:rsid w:val="00623730"/>
    <w:rsid w:val="00641212"/>
    <w:rsid w:val="006A21EA"/>
    <w:rsid w:val="006D105A"/>
    <w:rsid w:val="006D2AD0"/>
    <w:rsid w:val="006E37C2"/>
    <w:rsid w:val="007227CB"/>
    <w:rsid w:val="0072445D"/>
    <w:rsid w:val="00747609"/>
    <w:rsid w:val="00747B3C"/>
    <w:rsid w:val="00750A4A"/>
    <w:rsid w:val="00751E81"/>
    <w:rsid w:val="007B65BB"/>
    <w:rsid w:val="007B70BB"/>
    <w:rsid w:val="007D0011"/>
    <w:rsid w:val="007D7FCE"/>
    <w:rsid w:val="007E2CDA"/>
    <w:rsid w:val="007F680A"/>
    <w:rsid w:val="00823C96"/>
    <w:rsid w:val="008248ED"/>
    <w:rsid w:val="00835034"/>
    <w:rsid w:val="008530CB"/>
    <w:rsid w:val="00863E5B"/>
    <w:rsid w:val="008774DF"/>
    <w:rsid w:val="008862B2"/>
    <w:rsid w:val="008A3F97"/>
    <w:rsid w:val="008A5C5E"/>
    <w:rsid w:val="008A699C"/>
    <w:rsid w:val="008B46C6"/>
    <w:rsid w:val="008C0A6A"/>
    <w:rsid w:val="008D2BC0"/>
    <w:rsid w:val="008F3740"/>
    <w:rsid w:val="00902B34"/>
    <w:rsid w:val="00907FDB"/>
    <w:rsid w:val="00922AFA"/>
    <w:rsid w:val="00927B48"/>
    <w:rsid w:val="00933BDD"/>
    <w:rsid w:val="00934B36"/>
    <w:rsid w:val="009456E7"/>
    <w:rsid w:val="009A0BC8"/>
    <w:rsid w:val="009B1E8F"/>
    <w:rsid w:val="009C58DE"/>
    <w:rsid w:val="009C5963"/>
    <w:rsid w:val="009D6444"/>
    <w:rsid w:val="009E2DE0"/>
    <w:rsid w:val="009E69F1"/>
    <w:rsid w:val="009F212C"/>
    <w:rsid w:val="009F2665"/>
    <w:rsid w:val="00A03E49"/>
    <w:rsid w:val="00A61256"/>
    <w:rsid w:val="00A62963"/>
    <w:rsid w:val="00A72364"/>
    <w:rsid w:val="00A74E8E"/>
    <w:rsid w:val="00AA02BD"/>
    <w:rsid w:val="00AB575F"/>
    <w:rsid w:val="00AD0067"/>
    <w:rsid w:val="00AD4F8A"/>
    <w:rsid w:val="00AF042E"/>
    <w:rsid w:val="00B02941"/>
    <w:rsid w:val="00B100C3"/>
    <w:rsid w:val="00B12358"/>
    <w:rsid w:val="00B40D3E"/>
    <w:rsid w:val="00B47848"/>
    <w:rsid w:val="00B54F3A"/>
    <w:rsid w:val="00B76C4A"/>
    <w:rsid w:val="00B84CA8"/>
    <w:rsid w:val="00B9151D"/>
    <w:rsid w:val="00B96A99"/>
    <w:rsid w:val="00BC7F79"/>
    <w:rsid w:val="00BD7295"/>
    <w:rsid w:val="00BF567B"/>
    <w:rsid w:val="00C0446C"/>
    <w:rsid w:val="00C215F9"/>
    <w:rsid w:val="00C27322"/>
    <w:rsid w:val="00C37423"/>
    <w:rsid w:val="00C77DD1"/>
    <w:rsid w:val="00C91CF4"/>
    <w:rsid w:val="00CA1283"/>
    <w:rsid w:val="00CB0BA5"/>
    <w:rsid w:val="00CB1FDF"/>
    <w:rsid w:val="00CB6926"/>
    <w:rsid w:val="00CC0C66"/>
    <w:rsid w:val="00CC4889"/>
    <w:rsid w:val="00CD532D"/>
    <w:rsid w:val="00CF74B5"/>
    <w:rsid w:val="00D33265"/>
    <w:rsid w:val="00D3571B"/>
    <w:rsid w:val="00D40DDF"/>
    <w:rsid w:val="00D5302E"/>
    <w:rsid w:val="00D822BA"/>
    <w:rsid w:val="00DD454F"/>
    <w:rsid w:val="00E33C08"/>
    <w:rsid w:val="00E4300A"/>
    <w:rsid w:val="00E7010D"/>
    <w:rsid w:val="00E72054"/>
    <w:rsid w:val="00E77466"/>
    <w:rsid w:val="00E83F25"/>
    <w:rsid w:val="00E851F0"/>
    <w:rsid w:val="00E85E08"/>
    <w:rsid w:val="00E94885"/>
    <w:rsid w:val="00EB19CD"/>
    <w:rsid w:val="00EC1B2E"/>
    <w:rsid w:val="00ED4996"/>
    <w:rsid w:val="00ED6DDC"/>
    <w:rsid w:val="00EE2892"/>
    <w:rsid w:val="00EE6AF8"/>
    <w:rsid w:val="00F01B55"/>
    <w:rsid w:val="00F163E3"/>
    <w:rsid w:val="00F1792E"/>
    <w:rsid w:val="00F24CEF"/>
    <w:rsid w:val="00F77CD0"/>
    <w:rsid w:val="00F868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54F"/>
    <w:rPr>
      <w:sz w:val="24"/>
      <w:szCs w:val="24"/>
    </w:rPr>
  </w:style>
  <w:style w:type="paragraph" w:styleId="Ttulo1">
    <w:name w:val="heading 1"/>
    <w:basedOn w:val="Normal"/>
    <w:next w:val="Normal"/>
    <w:qFormat/>
    <w:rsid w:val="00DD454F"/>
    <w:pPr>
      <w:keepNext/>
      <w:outlineLvl w:val="0"/>
    </w:pPr>
    <w:rPr>
      <w:rFonts w:ascii="Trebuchet MS" w:hAnsi="Trebuchet MS" w:cs="Trebuchet MS"/>
      <w:color w:val="0066CC"/>
      <w:kern w:val="32"/>
      <w:sz w:val="36"/>
      <w:szCs w:val="36"/>
    </w:rPr>
  </w:style>
  <w:style w:type="paragraph" w:styleId="Ttulo2">
    <w:name w:val="heading 2"/>
    <w:basedOn w:val="Ttulo1"/>
    <w:next w:val="Normal"/>
    <w:qFormat/>
    <w:rsid w:val="00DD454F"/>
    <w:pPr>
      <w:pBdr>
        <w:top w:val="single" w:sz="36" w:space="1" w:color="003399"/>
      </w:pBdr>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D454F"/>
    <w:rPr>
      <w:rFonts w:ascii="Verdana" w:hAnsi="Verdana" w:cs="Verdana" w:hint="default"/>
      <w:strike w:val="0"/>
      <w:dstrike w:val="0"/>
      <w:color w:val="99CCFF"/>
      <w:sz w:val="20"/>
      <w:szCs w:val="20"/>
      <w:u w:val="none"/>
      <w:effect w:val="none"/>
    </w:rPr>
  </w:style>
  <w:style w:type="character" w:styleId="HiperlinkVisitado">
    <w:name w:val="FollowedHyperlink"/>
    <w:basedOn w:val="Fontepargpadro"/>
    <w:rsid w:val="00DD454F"/>
    <w:rPr>
      <w:rFonts w:ascii="Verdana" w:hAnsi="Verdana" w:cs="Verdana" w:hint="default"/>
      <w:strike w:val="0"/>
      <w:dstrike w:val="0"/>
      <w:color w:val="C0C0C0"/>
      <w:sz w:val="20"/>
      <w:szCs w:val="20"/>
      <w:u w:val="none"/>
      <w:effect w:val="none"/>
    </w:rPr>
  </w:style>
  <w:style w:type="paragraph" w:styleId="Textodecomentrio">
    <w:name w:val="annotation text"/>
    <w:basedOn w:val="Normal"/>
    <w:semiHidden/>
    <w:rsid w:val="00DD454F"/>
    <w:rPr>
      <w:sz w:val="20"/>
      <w:szCs w:val="20"/>
    </w:rPr>
  </w:style>
  <w:style w:type="paragraph" w:styleId="Corpodetexto">
    <w:name w:val="Body Text"/>
    <w:basedOn w:val="Normal"/>
    <w:rsid w:val="00DD454F"/>
    <w:pPr>
      <w:spacing w:after="120"/>
    </w:pPr>
    <w:rPr>
      <w:rFonts w:ascii="Verdana" w:hAnsi="Verdana" w:cs="Verdana"/>
      <w:color w:val="000000"/>
      <w:sz w:val="20"/>
      <w:szCs w:val="20"/>
    </w:rPr>
  </w:style>
  <w:style w:type="paragraph" w:styleId="Assuntodocomentrio">
    <w:name w:val="annotation subject"/>
    <w:basedOn w:val="Textodecomentrio"/>
    <w:next w:val="Textodecomentrio"/>
    <w:semiHidden/>
    <w:rsid w:val="00DD454F"/>
    <w:rPr>
      <w:b/>
      <w:bCs/>
    </w:rPr>
  </w:style>
  <w:style w:type="paragraph" w:customStyle="1" w:styleId="Ttulodoboletiminformativo">
    <w:name w:val="Título do boletim informativo"/>
    <w:basedOn w:val="Normal"/>
    <w:rsid w:val="00DD454F"/>
    <w:pPr>
      <w:jc w:val="center"/>
    </w:pPr>
    <w:rPr>
      <w:rFonts w:ascii="Trebuchet MS" w:hAnsi="Trebuchet MS" w:cs="Trebuchet MS"/>
      <w:color w:val="0066CC"/>
      <w:sz w:val="60"/>
      <w:szCs w:val="60"/>
      <w:lang w:bidi="en-US"/>
    </w:rPr>
  </w:style>
  <w:style w:type="paragraph" w:customStyle="1" w:styleId="Volumeenmero">
    <w:name w:val="Volume e número"/>
    <w:basedOn w:val="Normal"/>
    <w:rsid w:val="00DD454F"/>
    <w:pPr>
      <w:tabs>
        <w:tab w:val="right" w:pos="10210"/>
      </w:tabs>
    </w:pPr>
    <w:rPr>
      <w:rFonts w:ascii="Trebuchet MS" w:hAnsi="Trebuchet MS" w:cs="Trebuchet MS"/>
      <w:b/>
      <w:bCs/>
      <w:color w:val="FFFFFF"/>
      <w:sz w:val="20"/>
      <w:szCs w:val="20"/>
      <w:lang w:bidi="en-US"/>
    </w:rPr>
  </w:style>
  <w:style w:type="paragraph" w:customStyle="1" w:styleId="Ttulodondiceanaltico">
    <w:name w:val="Título do índice analítico"/>
    <w:basedOn w:val="Normal"/>
    <w:rsid w:val="00DD454F"/>
    <w:pPr>
      <w:spacing w:before="120"/>
    </w:pPr>
    <w:rPr>
      <w:rFonts w:ascii="Trebuchet MS" w:hAnsi="Trebuchet MS" w:cs="Trebuchet MS"/>
      <w:color w:val="FFFF99"/>
      <w:sz w:val="32"/>
      <w:szCs w:val="32"/>
      <w:lang w:bidi="en-US"/>
    </w:rPr>
  </w:style>
  <w:style w:type="paragraph" w:customStyle="1" w:styleId="Entradadondiceanaltico">
    <w:name w:val="Entrada do índice analítico"/>
    <w:basedOn w:val="Normal"/>
    <w:rsid w:val="00DD454F"/>
    <w:pPr>
      <w:numPr>
        <w:numId w:val="2"/>
      </w:numPr>
      <w:spacing w:after="120"/>
    </w:pPr>
    <w:rPr>
      <w:rFonts w:ascii="Verdana" w:hAnsi="Verdana" w:cs="Verdana"/>
      <w:color w:val="FFFFFF"/>
      <w:sz w:val="20"/>
      <w:szCs w:val="20"/>
      <w:lang w:bidi="en-US"/>
    </w:rPr>
  </w:style>
  <w:style w:type="paragraph" w:customStyle="1" w:styleId="Ttulodabarralateral">
    <w:name w:val="Título da barra lateral"/>
    <w:basedOn w:val="Normal"/>
    <w:rsid w:val="00DD454F"/>
    <w:pPr>
      <w:keepNext/>
      <w:spacing w:before="480"/>
    </w:pPr>
    <w:rPr>
      <w:rFonts w:ascii="Trebuchet MS" w:hAnsi="Trebuchet MS" w:cs="Trebuchet MS"/>
      <w:b/>
      <w:bCs/>
      <w:color w:val="FFFF99"/>
      <w:sz w:val="22"/>
      <w:szCs w:val="22"/>
      <w:lang w:bidi="en-US"/>
    </w:rPr>
  </w:style>
  <w:style w:type="paragraph" w:customStyle="1" w:styleId="Links">
    <w:name w:val="Links"/>
    <w:basedOn w:val="Normal"/>
    <w:rsid w:val="00DD454F"/>
    <w:pPr>
      <w:spacing w:before="120"/>
    </w:pPr>
    <w:rPr>
      <w:rFonts w:ascii="Verdana" w:hAnsi="Verdana"/>
      <w:color w:val="99CCFF"/>
      <w:sz w:val="20"/>
      <w:szCs w:val="20"/>
    </w:rPr>
  </w:style>
  <w:style w:type="paragraph" w:customStyle="1" w:styleId="Textodescritivodoslinks">
    <w:name w:val="Texto descritivo dos links"/>
    <w:basedOn w:val="Normal"/>
    <w:rsid w:val="00DD454F"/>
    <w:pPr>
      <w:keepLines/>
    </w:pPr>
    <w:rPr>
      <w:rFonts w:ascii="Verdana" w:hAnsi="Verdana" w:cs="Verdana"/>
      <w:b/>
      <w:i/>
      <w:iCs/>
      <w:color w:val="FFFFFF"/>
      <w:sz w:val="16"/>
      <w:szCs w:val="16"/>
      <w:lang w:bidi="en-US"/>
    </w:rPr>
  </w:style>
  <w:style w:type="paragraph" w:customStyle="1" w:styleId="Logotipo">
    <w:name w:val="Logotipo"/>
    <w:basedOn w:val="Normal"/>
    <w:rsid w:val="00DD454F"/>
    <w:pPr>
      <w:jc w:val="center"/>
    </w:pPr>
    <w:rPr>
      <w:rFonts w:ascii="Verdana" w:hAnsi="Verdana" w:cs="Verdana"/>
      <w:sz w:val="20"/>
      <w:szCs w:val="20"/>
      <w:lang w:bidi="en-US"/>
    </w:rPr>
  </w:style>
  <w:style w:type="character" w:styleId="Refdecomentrio">
    <w:name w:val="annotation reference"/>
    <w:basedOn w:val="Fontepargpadro"/>
    <w:semiHidden/>
    <w:rsid w:val="00DD454F"/>
    <w:rPr>
      <w:sz w:val="16"/>
      <w:szCs w:val="16"/>
    </w:rPr>
  </w:style>
  <w:style w:type="table" w:customStyle="1" w:styleId="Tabelanormal1">
    <w:name w:val="Tabela normal1"/>
    <w:semiHidden/>
    <w:rsid w:val="00DD454F"/>
    <w:rPr>
      <w:lang w:bidi="en-US"/>
    </w:rPr>
    <w:tblPr>
      <w:tblCellMar>
        <w:top w:w="0" w:type="dxa"/>
        <w:left w:w="108" w:type="dxa"/>
        <w:bottom w:w="0" w:type="dxa"/>
        <w:right w:w="108" w:type="dxa"/>
      </w:tblCellMar>
    </w:tblPr>
  </w:style>
  <w:style w:type="table" w:customStyle="1" w:styleId="Gradedatabela">
    <w:name w:val="Grade da tabela"/>
    <w:basedOn w:val="Tabelanormal"/>
    <w:rsid w:val="00DD454F"/>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unhideWhenUsed/>
    <w:rsid w:val="00750A4A"/>
    <w:rPr>
      <w:rFonts w:ascii="Segoe UI" w:hAnsi="Segoe UI" w:cs="Segoe UI"/>
      <w:sz w:val="18"/>
      <w:szCs w:val="18"/>
    </w:rPr>
  </w:style>
  <w:style w:type="character" w:customStyle="1" w:styleId="TextodebaloChar">
    <w:name w:val="Texto de balão Char"/>
    <w:basedOn w:val="Fontepargpadro"/>
    <w:link w:val="Textodebalo"/>
    <w:semiHidden/>
    <w:rsid w:val="00750A4A"/>
    <w:rPr>
      <w:rFonts w:ascii="Segoe UI" w:hAnsi="Segoe UI" w:cs="Segoe UI"/>
      <w:sz w:val="18"/>
      <w:szCs w:val="18"/>
    </w:rPr>
  </w:style>
  <w:style w:type="character" w:styleId="Forte">
    <w:name w:val="Strong"/>
    <w:basedOn w:val="Fontepargpadro"/>
    <w:uiPriority w:val="22"/>
    <w:qFormat/>
    <w:rsid w:val="00CC4889"/>
    <w:rPr>
      <w:b/>
      <w:bCs/>
    </w:rPr>
  </w:style>
  <w:style w:type="paragraph" w:styleId="NormalWeb">
    <w:name w:val="Normal (Web)"/>
    <w:basedOn w:val="Normal"/>
    <w:uiPriority w:val="99"/>
    <w:unhideWhenUsed/>
    <w:rsid w:val="00D5302E"/>
    <w:pPr>
      <w:spacing w:before="100" w:beforeAutospacing="1" w:after="100" w:afterAutospacing="1"/>
    </w:pPr>
    <w:rPr>
      <w:lang w:val="pt-BR" w:eastAsia="pt-BR"/>
    </w:rPr>
  </w:style>
  <w:style w:type="table" w:styleId="Tabelacomgrade">
    <w:name w:val="Table Grid"/>
    <w:basedOn w:val="Tabelanormal"/>
    <w:rsid w:val="002345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
    <w:rsid w:val="008A3F97"/>
    <w:pPr>
      <w:spacing w:before="100" w:beforeAutospacing="1" w:after="100" w:afterAutospacing="1"/>
    </w:pPr>
    <w:rPr>
      <w:lang w:val="pt-BR" w:eastAsia="pt-BR"/>
    </w:rPr>
  </w:style>
  <w:style w:type="character" w:styleId="nfase">
    <w:name w:val="Emphasis"/>
    <w:basedOn w:val="Fontepargpadro"/>
    <w:uiPriority w:val="20"/>
    <w:qFormat/>
    <w:rsid w:val="008A3F97"/>
    <w:rPr>
      <w:i/>
      <w:iCs/>
    </w:rPr>
  </w:style>
  <w:style w:type="paragraph" w:customStyle="1" w:styleId="Default">
    <w:name w:val="Default"/>
    <w:rsid w:val="000A2739"/>
    <w:pPr>
      <w:autoSpaceDE w:val="0"/>
      <w:autoSpaceDN w:val="0"/>
      <w:adjustRightInd w:val="0"/>
    </w:pPr>
    <w:rPr>
      <w:rFonts w:ascii="Calibri" w:hAnsi="Calibri" w:cs="Calibri"/>
      <w:color w:val="000000"/>
      <w:sz w:val="24"/>
      <w:szCs w:val="24"/>
      <w:lang w:val="pt-BR"/>
    </w:rPr>
  </w:style>
  <w:style w:type="paragraph" w:styleId="PargrafodaLista">
    <w:name w:val="List Paragraph"/>
    <w:basedOn w:val="Normal"/>
    <w:uiPriority w:val="34"/>
    <w:qFormat/>
    <w:rsid w:val="007244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54F"/>
    <w:rPr>
      <w:sz w:val="24"/>
      <w:szCs w:val="24"/>
    </w:rPr>
  </w:style>
  <w:style w:type="paragraph" w:styleId="Ttulo1">
    <w:name w:val="heading 1"/>
    <w:basedOn w:val="Normal"/>
    <w:next w:val="Normal"/>
    <w:qFormat/>
    <w:rsid w:val="00DD454F"/>
    <w:pPr>
      <w:keepNext/>
      <w:outlineLvl w:val="0"/>
    </w:pPr>
    <w:rPr>
      <w:rFonts w:ascii="Trebuchet MS" w:hAnsi="Trebuchet MS" w:cs="Trebuchet MS"/>
      <w:color w:val="0066CC"/>
      <w:kern w:val="32"/>
      <w:sz w:val="36"/>
      <w:szCs w:val="36"/>
    </w:rPr>
  </w:style>
  <w:style w:type="paragraph" w:styleId="Ttulo2">
    <w:name w:val="heading 2"/>
    <w:basedOn w:val="Ttulo1"/>
    <w:next w:val="Normal"/>
    <w:qFormat/>
    <w:rsid w:val="00DD454F"/>
    <w:pPr>
      <w:pBdr>
        <w:top w:val="single" w:sz="36" w:space="1" w:color="003399"/>
      </w:pBdr>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D454F"/>
    <w:rPr>
      <w:rFonts w:ascii="Verdana" w:hAnsi="Verdana" w:cs="Verdana" w:hint="default"/>
      <w:strike w:val="0"/>
      <w:dstrike w:val="0"/>
      <w:color w:val="99CCFF"/>
      <w:sz w:val="20"/>
      <w:szCs w:val="20"/>
      <w:u w:val="none"/>
      <w:effect w:val="none"/>
    </w:rPr>
  </w:style>
  <w:style w:type="character" w:styleId="HiperlinkVisitado">
    <w:name w:val="FollowedHyperlink"/>
    <w:basedOn w:val="Fontepargpadro"/>
    <w:rsid w:val="00DD454F"/>
    <w:rPr>
      <w:rFonts w:ascii="Verdana" w:hAnsi="Verdana" w:cs="Verdana" w:hint="default"/>
      <w:strike w:val="0"/>
      <w:dstrike w:val="0"/>
      <w:color w:val="C0C0C0"/>
      <w:sz w:val="20"/>
      <w:szCs w:val="20"/>
      <w:u w:val="none"/>
      <w:effect w:val="none"/>
    </w:rPr>
  </w:style>
  <w:style w:type="paragraph" w:styleId="Textodecomentrio">
    <w:name w:val="annotation text"/>
    <w:basedOn w:val="Normal"/>
    <w:semiHidden/>
    <w:rsid w:val="00DD454F"/>
    <w:rPr>
      <w:sz w:val="20"/>
      <w:szCs w:val="20"/>
    </w:rPr>
  </w:style>
  <w:style w:type="paragraph" w:styleId="Corpodetexto">
    <w:name w:val="Body Text"/>
    <w:basedOn w:val="Normal"/>
    <w:rsid w:val="00DD454F"/>
    <w:pPr>
      <w:spacing w:after="120"/>
    </w:pPr>
    <w:rPr>
      <w:rFonts w:ascii="Verdana" w:hAnsi="Verdana" w:cs="Verdana"/>
      <w:color w:val="000000"/>
      <w:sz w:val="20"/>
      <w:szCs w:val="20"/>
    </w:rPr>
  </w:style>
  <w:style w:type="paragraph" w:styleId="Assuntodocomentrio">
    <w:name w:val="annotation subject"/>
    <w:basedOn w:val="Textodecomentrio"/>
    <w:next w:val="Textodecomentrio"/>
    <w:semiHidden/>
    <w:rsid w:val="00DD454F"/>
    <w:rPr>
      <w:b/>
      <w:bCs/>
    </w:rPr>
  </w:style>
  <w:style w:type="paragraph" w:customStyle="1" w:styleId="Ttulodoboletiminformativo">
    <w:name w:val="Título do boletim informativo"/>
    <w:basedOn w:val="Normal"/>
    <w:rsid w:val="00DD454F"/>
    <w:pPr>
      <w:jc w:val="center"/>
    </w:pPr>
    <w:rPr>
      <w:rFonts w:ascii="Trebuchet MS" w:hAnsi="Trebuchet MS" w:cs="Trebuchet MS"/>
      <w:color w:val="0066CC"/>
      <w:sz w:val="60"/>
      <w:szCs w:val="60"/>
      <w:lang w:bidi="en-US"/>
    </w:rPr>
  </w:style>
  <w:style w:type="paragraph" w:customStyle="1" w:styleId="Volumeenmero">
    <w:name w:val="Volume e número"/>
    <w:basedOn w:val="Normal"/>
    <w:rsid w:val="00DD454F"/>
    <w:pPr>
      <w:tabs>
        <w:tab w:val="right" w:pos="10210"/>
      </w:tabs>
    </w:pPr>
    <w:rPr>
      <w:rFonts w:ascii="Trebuchet MS" w:hAnsi="Trebuchet MS" w:cs="Trebuchet MS"/>
      <w:b/>
      <w:bCs/>
      <w:color w:val="FFFFFF"/>
      <w:sz w:val="20"/>
      <w:szCs w:val="20"/>
      <w:lang w:bidi="en-US"/>
    </w:rPr>
  </w:style>
  <w:style w:type="paragraph" w:customStyle="1" w:styleId="Ttulodondiceanaltico">
    <w:name w:val="Título do índice analítico"/>
    <w:basedOn w:val="Normal"/>
    <w:rsid w:val="00DD454F"/>
    <w:pPr>
      <w:spacing w:before="120"/>
    </w:pPr>
    <w:rPr>
      <w:rFonts w:ascii="Trebuchet MS" w:hAnsi="Trebuchet MS" w:cs="Trebuchet MS"/>
      <w:color w:val="FFFF99"/>
      <w:sz w:val="32"/>
      <w:szCs w:val="32"/>
      <w:lang w:bidi="en-US"/>
    </w:rPr>
  </w:style>
  <w:style w:type="paragraph" w:customStyle="1" w:styleId="Entradadondiceanaltico">
    <w:name w:val="Entrada do índice analítico"/>
    <w:basedOn w:val="Normal"/>
    <w:rsid w:val="00DD454F"/>
    <w:pPr>
      <w:numPr>
        <w:numId w:val="2"/>
      </w:numPr>
      <w:spacing w:after="120"/>
    </w:pPr>
    <w:rPr>
      <w:rFonts w:ascii="Verdana" w:hAnsi="Verdana" w:cs="Verdana"/>
      <w:color w:val="FFFFFF"/>
      <w:sz w:val="20"/>
      <w:szCs w:val="20"/>
      <w:lang w:bidi="en-US"/>
    </w:rPr>
  </w:style>
  <w:style w:type="paragraph" w:customStyle="1" w:styleId="Ttulodabarralateral">
    <w:name w:val="Título da barra lateral"/>
    <w:basedOn w:val="Normal"/>
    <w:rsid w:val="00DD454F"/>
    <w:pPr>
      <w:keepNext/>
      <w:spacing w:before="480"/>
    </w:pPr>
    <w:rPr>
      <w:rFonts w:ascii="Trebuchet MS" w:hAnsi="Trebuchet MS" w:cs="Trebuchet MS"/>
      <w:b/>
      <w:bCs/>
      <w:color w:val="FFFF99"/>
      <w:sz w:val="22"/>
      <w:szCs w:val="22"/>
      <w:lang w:bidi="en-US"/>
    </w:rPr>
  </w:style>
  <w:style w:type="paragraph" w:customStyle="1" w:styleId="Links">
    <w:name w:val="Links"/>
    <w:basedOn w:val="Normal"/>
    <w:rsid w:val="00DD454F"/>
    <w:pPr>
      <w:spacing w:before="120"/>
    </w:pPr>
    <w:rPr>
      <w:rFonts w:ascii="Verdana" w:hAnsi="Verdana"/>
      <w:color w:val="99CCFF"/>
      <w:sz w:val="20"/>
      <w:szCs w:val="20"/>
    </w:rPr>
  </w:style>
  <w:style w:type="paragraph" w:customStyle="1" w:styleId="Textodescritivodoslinks">
    <w:name w:val="Texto descritivo dos links"/>
    <w:basedOn w:val="Normal"/>
    <w:rsid w:val="00DD454F"/>
    <w:pPr>
      <w:keepLines/>
    </w:pPr>
    <w:rPr>
      <w:rFonts w:ascii="Verdana" w:hAnsi="Verdana" w:cs="Verdana"/>
      <w:b/>
      <w:i/>
      <w:iCs/>
      <w:color w:val="FFFFFF"/>
      <w:sz w:val="16"/>
      <w:szCs w:val="16"/>
      <w:lang w:bidi="en-US"/>
    </w:rPr>
  </w:style>
  <w:style w:type="paragraph" w:customStyle="1" w:styleId="Logotipo">
    <w:name w:val="Logotipo"/>
    <w:basedOn w:val="Normal"/>
    <w:rsid w:val="00DD454F"/>
    <w:pPr>
      <w:jc w:val="center"/>
    </w:pPr>
    <w:rPr>
      <w:rFonts w:ascii="Verdana" w:hAnsi="Verdana" w:cs="Verdana"/>
      <w:sz w:val="20"/>
      <w:szCs w:val="20"/>
      <w:lang w:bidi="en-US"/>
    </w:rPr>
  </w:style>
  <w:style w:type="character" w:styleId="Refdecomentrio">
    <w:name w:val="annotation reference"/>
    <w:basedOn w:val="Fontepargpadro"/>
    <w:semiHidden/>
    <w:rsid w:val="00DD454F"/>
    <w:rPr>
      <w:sz w:val="16"/>
      <w:szCs w:val="16"/>
    </w:rPr>
  </w:style>
  <w:style w:type="table" w:customStyle="1" w:styleId="Tabelanormal1">
    <w:name w:val="Tabela normal1"/>
    <w:semiHidden/>
    <w:rsid w:val="00DD454F"/>
    <w:rPr>
      <w:lang w:bidi="en-US"/>
    </w:rPr>
    <w:tblPr>
      <w:tblCellMar>
        <w:top w:w="0" w:type="dxa"/>
        <w:left w:w="108" w:type="dxa"/>
        <w:bottom w:w="0" w:type="dxa"/>
        <w:right w:w="108" w:type="dxa"/>
      </w:tblCellMar>
    </w:tblPr>
  </w:style>
  <w:style w:type="table" w:customStyle="1" w:styleId="Gradedatabela">
    <w:name w:val="Grade da tabela"/>
    <w:basedOn w:val="Tabelanormal"/>
    <w:rsid w:val="00DD454F"/>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unhideWhenUsed/>
    <w:rsid w:val="00750A4A"/>
    <w:rPr>
      <w:rFonts w:ascii="Segoe UI" w:hAnsi="Segoe UI" w:cs="Segoe UI"/>
      <w:sz w:val="18"/>
      <w:szCs w:val="18"/>
    </w:rPr>
  </w:style>
  <w:style w:type="character" w:customStyle="1" w:styleId="TextodebaloChar">
    <w:name w:val="Texto de balão Char"/>
    <w:basedOn w:val="Fontepargpadro"/>
    <w:link w:val="Textodebalo"/>
    <w:semiHidden/>
    <w:rsid w:val="00750A4A"/>
    <w:rPr>
      <w:rFonts w:ascii="Segoe UI" w:hAnsi="Segoe UI" w:cs="Segoe UI"/>
      <w:sz w:val="18"/>
      <w:szCs w:val="18"/>
    </w:rPr>
  </w:style>
  <w:style w:type="character" w:styleId="Forte">
    <w:name w:val="Strong"/>
    <w:basedOn w:val="Fontepargpadro"/>
    <w:uiPriority w:val="22"/>
    <w:qFormat/>
    <w:rsid w:val="00CC4889"/>
    <w:rPr>
      <w:b/>
      <w:bCs/>
    </w:rPr>
  </w:style>
  <w:style w:type="paragraph" w:styleId="NormalWeb">
    <w:name w:val="Normal (Web)"/>
    <w:basedOn w:val="Normal"/>
    <w:uiPriority w:val="99"/>
    <w:semiHidden/>
    <w:unhideWhenUsed/>
    <w:rsid w:val="00D5302E"/>
    <w:pPr>
      <w:spacing w:before="100" w:beforeAutospacing="1" w:after="100" w:afterAutospacing="1"/>
    </w:pPr>
    <w:rPr>
      <w:lang w:val="pt-BR" w:eastAsia="pt-BR"/>
    </w:rPr>
  </w:style>
</w:styles>
</file>

<file path=word/webSettings.xml><?xml version="1.0" encoding="utf-8"?>
<w:webSettings xmlns:r="http://schemas.openxmlformats.org/officeDocument/2006/relationships" xmlns:w="http://schemas.openxmlformats.org/wordprocessingml/2006/main">
  <w:divs>
    <w:div w:id="412165296">
      <w:bodyDiv w:val="1"/>
      <w:marLeft w:val="0"/>
      <w:marRight w:val="0"/>
      <w:marTop w:val="0"/>
      <w:marBottom w:val="0"/>
      <w:divBdr>
        <w:top w:val="none" w:sz="0" w:space="0" w:color="auto"/>
        <w:left w:val="none" w:sz="0" w:space="0" w:color="auto"/>
        <w:bottom w:val="none" w:sz="0" w:space="0" w:color="auto"/>
        <w:right w:val="none" w:sz="0" w:space="0" w:color="auto"/>
      </w:divBdr>
    </w:div>
    <w:div w:id="452602195">
      <w:bodyDiv w:val="1"/>
      <w:marLeft w:val="0"/>
      <w:marRight w:val="0"/>
      <w:marTop w:val="0"/>
      <w:marBottom w:val="0"/>
      <w:divBdr>
        <w:top w:val="none" w:sz="0" w:space="0" w:color="auto"/>
        <w:left w:val="none" w:sz="0" w:space="0" w:color="auto"/>
        <w:bottom w:val="none" w:sz="0" w:space="0" w:color="auto"/>
        <w:right w:val="none" w:sz="0" w:space="0" w:color="auto"/>
      </w:divBdr>
    </w:div>
    <w:div w:id="490605770">
      <w:bodyDiv w:val="1"/>
      <w:marLeft w:val="0"/>
      <w:marRight w:val="0"/>
      <w:marTop w:val="0"/>
      <w:marBottom w:val="0"/>
      <w:divBdr>
        <w:top w:val="none" w:sz="0" w:space="0" w:color="auto"/>
        <w:left w:val="none" w:sz="0" w:space="0" w:color="auto"/>
        <w:bottom w:val="none" w:sz="0" w:space="0" w:color="auto"/>
        <w:right w:val="none" w:sz="0" w:space="0" w:color="auto"/>
      </w:divBdr>
      <w:divsChild>
        <w:div w:id="1430078556">
          <w:marLeft w:val="0"/>
          <w:marRight w:val="0"/>
          <w:marTop w:val="0"/>
          <w:marBottom w:val="0"/>
          <w:divBdr>
            <w:top w:val="none" w:sz="0" w:space="0" w:color="auto"/>
            <w:left w:val="none" w:sz="0" w:space="0" w:color="auto"/>
            <w:bottom w:val="none" w:sz="0" w:space="0" w:color="auto"/>
            <w:right w:val="none" w:sz="0" w:space="0" w:color="auto"/>
          </w:divBdr>
        </w:div>
      </w:divsChild>
    </w:div>
    <w:div w:id="1006401561">
      <w:bodyDiv w:val="1"/>
      <w:marLeft w:val="0"/>
      <w:marRight w:val="0"/>
      <w:marTop w:val="0"/>
      <w:marBottom w:val="0"/>
      <w:divBdr>
        <w:top w:val="none" w:sz="0" w:space="0" w:color="auto"/>
        <w:left w:val="none" w:sz="0" w:space="0" w:color="auto"/>
        <w:bottom w:val="none" w:sz="0" w:space="0" w:color="auto"/>
        <w:right w:val="none" w:sz="0" w:space="0" w:color="auto"/>
      </w:divBdr>
    </w:div>
    <w:div w:id="1407266177">
      <w:bodyDiv w:val="1"/>
      <w:marLeft w:val="0"/>
      <w:marRight w:val="0"/>
      <w:marTop w:val="0"/>
      <w:marBottom w:val="0"/>
      <w:divBdr>
        <w:top w:val="none" w:sz="0" w:space="0" w:color="auto"/>
        <w:left w:val="none" w:sz="0" w:space="0" w:color="auto"/>
        <w:bottom w:val="none" w:sz="0" w:space="0" w:color="auto"/>
        <w:right w:val="none" w:sz="0" w:space="0" w:color="auto"/>
      </w:divBdr>
    </w:div>
    <w:div w:id="1458067200">
      <w:bodyDiv w:val="1"/>
      <w:marLeft w:val="0"/>
      <w:marRight w:val="0"/>
      <w:marTop w:val="0"/>
      <w:marBottom w:val="0"/>
      <w:divBdr>
        <w:top w:val="none" w:sz="0" w:space="0" w:color="auto"/>
        <w:left w:val="none" w:sz="0" w:space="0" w:color="auto"/>
        <w:bottom w:val="none" w:sz="0" w:space="0" w:color="auto"/>
        <w:right w:val="none" w:sz="0" w:space="0" w:color="auto"/>
      </w:divBdr>
    </w:div>
    <w:div w:id="1909997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hand-foot-mouth/about/signs-symptoms.html" TargetMode="External"/><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emf"/><Relationship Id="rId19" Type="http://schemas.openxmlformats.org/officeDocument/2006/relationships/hyperlink" Target="https://mundoeducacao.bol.uol.com.br/doencas/diferencas-entre-dengue-chikungunya-zika.htm" TargetMode="External"/><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13344773\AppData\Roaming\Microsoft\Templates\Boletim%20informativo%20eletr&#244;nico%20comercial%20(2%20col.,%20assim&#233;trico,%20shiperlin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A148F-547F-4472-81BB-65641DD55D71}">
  <ds:schemaRefs>
    <ds:schemaRef ds:uri="http://schemas.microsoft.com/sharepoint/v3/contenttype/forms"/>
  </ds:schemaRefs>
</ds:datastoreItem>
</file>

<file path=customXml/itemProps2.xml><?xml version="1.0" encoding="utf-8"?>
<ds:datastoreItem xmlns:ds="http://schemas.openxmlformats.org/officeDocument/2006/customXml" ds:itemID="{7BB44850-E75C-4ECD-9768-FB20B238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eletrônico comercial (2 col., assimétrico, shiperlinks)</Template>
  <TotalTime>0</TotalTime>
  <Pages>6</Pages>
  <Words>1652</Words>
  <Characters>8921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Augusto Jau</dc:creator>
  <cp:lastModifiedBy>Usuário</cp:lastModifiedBy>
  <cp:revision>2</cp:revision>
  <cp:lastPrinted>2019-07-08T16:19:00Z</cp:lastPrinted>
  <dcterms:created xsi:type="dcterms:W3CDTF">2019-07-23T19:47:00Z</dcterms:created>
  <dcterms:modified xsi:type="dcterms:W3CDTF">2019-07-23T19:47:00Z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TC010001131046</vt:lpwstr>
  </property>
</Properties>
</file>